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F72" w:rsidRPr="007C7D8E" w:rsidRDefault="00817F72" w:rsidP="007C7D8E">
      <w:pPr>
        <w:spacing w:after="0"/>
        <w:rPr>
          <w:color w:val="00C9DB"/>
          <w:sz w:val="20"/>
          <w:szCs w:val="20"/>
        </w:rPr>
      </w:pPr>
    </w:p>
    <w:p w:rsidR="00817F72" w:rsidRDefault="00817F72" w:rsidP="005179EF">
      <w:pPr>
        <w:spacing w:after="0"/>
        <w:jc w:val="center"/>
        <w:rPr>
          <w:color w:val="00C9DB"/>
        </w:rPr>
      </w:pPr>
    </w:p>
    <w:p w:rsidR="00817F72" w:rsidRDefault="00817F72" w:rsidP="005179EF">
      <w:pPr>
        <w:spacing w:after="0"/>
        <w:jc w:val="center"/>
        <w:rPr>
          <w:color w:val="00C9DB"/>
        </w:rPr>
      </w:pPr>
    </w:p>
    <w:p w:rsidR="00817F72" w:rsidRDefault="00817F72" w:rsidP="005179EF">
      <w:pPr>
        <w:spacing w:after="0"/>
        <w:jc w:val="center"/>
        <w:rPr>
          <w:color w:val="00C9DB"/>
        </w:rPr>
      </w:pPr>
    </w:p>
    <w:p w:rsidR="00817F72" w:rsidRPr="002D19F8" w:rsidRDefault="00817F72" w:rsidP="002D19F8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  <w:lang w:eastAsia="pl-PL"/>
        </w:rPr>
      </w:pPr>
    </w:p>
    <w:p w:rsidR="00817F72" w:rsidRPr="002D19F8" w:rsidRDefault="00817F72" w:rsidP="002D19F8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pl-PL"/>
        </w:rPr>
      </w:pPr>
      <w:r w:rsidRPr="002D19F8">
        <w:rPr>
          <w:b/>
          <w:bCs/>
          <w:color w:val="000000"/>
          <w:lang w:eastAsia="pl-PL"/>
        </w:rPr>
        <w:t xml:space="preserve">Parametry Usługi (SLA) </w:t>
      </w:r>
      <w:r w:rsidRPr="002D19F8">
        <w:rPr>
          <w:b/>
          <w:bCs/>
          <w:color w:val="001F5F"/>
          <w:sz w:val="28"/>
          <w:szCs w:val="28"/>
          <w:lang w:eastAsia="pl-PL"/>
        </w:rPr>
        <w:t xml:space="preserve">System Weryfikacji Autentyczności Leków </w:t>
      </w:r>
    </w:p>
    <w:p w:rsidR="00817F72" w:rsidRPr="002D19F8" w:rsidRDefault="00817F72" w:rsidP="002D19F8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pl-PL"/>
        </w:rPr>
      </w:pPr>
    </w:p>
    <w:p w:rsidR="00817F72" w:rsidRPr="002D19F8" w:rsidRDefault="00817F72" w:rsidP="002D19F8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pl-PL"/>
        </w:rPr>
      </w:pPr>
      <w:r w:rsidRPr="002D19F8">
        <w:rPr>
          <w:sz w:val="24"/>
          <w:szCs w:val="24"/>
          <w:lang w:eastAsia="pl-PL"/>
        </w:rPr>
        <w:t xml:space="preserve"> </w:t>
      </w:r>
    </w:p>
    <w:tbl>
      <w:tblPr>
        <w:tblW w:w="9416" w:type="dxa"/>
        <w:tblInd w:w="-106" w:type="dxa"/>
        <w:tblLayout w:type="fixed"/>
        <w:tblLook w:val="0000"/>
      </w:tblPr>
      <w:tblGrid>
        <w:gridCol w:w="4708"/>
        <w:gridCol w:w="4708"/>
      </w:tblGrid>
      <w:tr w:rsidR="00817F72" w:rsidRPr="002D19F8">
        <w:trPr>
          <w:trHeight w:val="99"/>
        </w:trPr>
        <w:tc>
          <w:tcPr>
            <w:tcW w:w="9416" w:type="dxa"/>
            <w:gridSpan w:val="2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FFFFFF"/>
                <w:sz w:val="20"/>
                <w:szCs w:val="20"/>
                <w:lang w:eastAsia="pl-PL"/>
              </w:rPr>
            </w:pPr>
            <w:r w:rsidRPr="002D19F8">
              <w:rPr>
                <w:sz w:val="24"/>
                <w:szCs w:val="24"/>
                <w:lang w:eastAsia="pl-PL"/>
              </w:rPr>
              <w:t xml:space="preserve"> </w:t>
            </w:r>
            <w:r w:rsidRPr="002D19F8">
              <w:rPr>
                <w:b/>
                <w:bCs/>
                <w:color w:val="FFFFFF"/>
                <w:sz w:val="20"/>
                <w:szCs w:val="20"/>
                <w:lang w:eastAsia="pl-PL"/>
              </w:rPr>
              <w:t xml:space="preserve">CZAS REAKCJI NA ZGŁOSZENIA </w:t>
            </w:r>
          </w:p>
        </w:tc>
      </w:tr>
      <w:tr w:rsidR="00817F72" w:rsidRPr="002D19F8">
        <w:trPr>
          <w:trHeight w:val="104"/>
        </w:trPr>
        <w:tc>
          <w:tcPr>
            <w:tcW w:w="4708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1F1662"/>
                <w:sz w:val="20"/>
                <w:szCs w:val="20"/>
                <w:lang w:eastAsia="pl-PL"/>
              </w:rPr>
            </w:pPr>
            <w:r w:rsidRPr="002D19F8">
              <w:rPr>
                <w:b/>
                <w:bCs/>
                <w:color w:val="1F1662"/>
                <w:sz w:val="20"/>
                <w:szCs w:val="20"/>
                <w:lang w:eastAsia="pl-PL"/>
              </w:rPr>
              <w:t xml:space="preserve">Czas przyjmowania zgłoszeń </w:t>
            </w:r>
          </w:p>
        </w:tc>
        <w:tc>
          <w:tcPr>
            <w:tcW w:w="4708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D19F8">
              <w:rPr>
                <w:color w:val="000000"/>
                <w:sz w:val="20"/>
                <w:szCs w:val="20"/>
                <w:lang w:eastAsia="pl-PL"/>
              </w:rPr>
              <w:t xml:space="preserve">Dni robocze </w:t>
            </w:r>
          </w:p>
        </w:tc>
      </w:tr>
      <w:tr w:rsidR="00817F72" w:rsidRPr="002D19F8">
        <w:trPr>
          <w:trHeight w:val="99"/>
        </w:trPr>
        <w:tc>
          <w:tcPr>
            <w:tcW w:w="4708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1F1662"/>
                <w:sz w:val="20"/>
                <w:szCs w:val="20"/>
                <w:lang w:eastAsia="pl-PL"/>
              </w:rPr>
            </w:pPr>
            <w:r w:rsidRPr="002D19F8">
              <w:rPr>
                <w:b/>
                <w:bCs/>
                <w:color w:val="1F1662"/>
                <w:sz w:val="20"/>
                <w:szCs w:val="20"/>
                <w:lang w:eastAsia="pl-PL"/>
              </w:rPr>
              <w:t xml:space="preserve">Czas reakcji na incydenty krytyczne </w:t>
            </w:r>
          </w:p>
        </w:tc>
        <w:tc>
          <w:tcPr>
            <w:tcW w:w="4708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…………..(max 4h robocze)</w:t>
            </w:r>
            <w:r w:rsidRPr="002D19F8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17F72" w:rsidRPr="002D19F8">
        <w:trPr>
          <w:trHeight w:val="99"/>
        </w:trPr>
        <w:tc>
          <w:tcPr>
            <w:tcW w:w="4708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1F1662"/>
                <w:sz w:val="20"/>
                <w:szCs w:val="20"/>
                <w:lang w:eastAsia="pl-PL"/>
              </w:rPr>
            </w:pPr>
            <w:r w:rsidRPr="002D19F8">
              <w:rPr>
                <w:b/>
                <w:bCs/>
                <w:color w:val="1F1662"/>
                <w:sz w:val="20"/>
                <w:szCs w:val="20"/>
                <w:lang w:eastAsia="pl-PL"/>
              </w:rPr>
              <w:t xml:space="preserve">Czas naprawy, obejścia lub redukcji klasy incydentu krytycznego </w:t>
            </w:r>
          </w:p>
        </w:tc>
        <w:tc>
          <w:tcPr>
            <w:tcW w:w="4708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……………(max 1 dzień roboczy)</w:t>
            </w:r>
            <w:r w:rsidRPr="002D19F8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17F72" w:rsidRPr="002D19F8">
        <w:trPr>
          <w:trHeight w:val="99"/>
        </w:trPr>
        <w:tc>
          <w:tcPr>
            <w:tcW w:w="4708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D19F8">
              <w:rPr>
                <w:b/>
                <w:bCs/>
                <w:color w:val="1F1662"/>
                <w:sz w:val="20"/>
                <w:szCs w:val="20"/>
                <w:lang w:eastAsia="pl-PL"/>
              </w:rPr>
              <w:t xml:space="preserve">Czas reakcji na incydenty niekrytyczne </w:t>
            </w:r>
          </w:p>
        </w:tc>
        <w:tc>
          <w:tcPr>
            <w:tcW w:w="4708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…………….( max 1 dzień roboczy)</w:t>
            </w:r>
            <w:r w:rsidRPr="002D19F8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17F72" w:rsidRPr="002D19F8">
        <w:trPr>
          <w:trHeight w:val="99"/>
        </w:trPr>
        <w:tc>
          <w:tcPr>
            <w:tcW w:w="4708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1F1662"/>
                <w:sz w:val="20"/>
                <w:szCs w:val="20"/>
                <w:lang w:eastAsia="pl-PL"/>
              </w:rPr>
            </w:pPr>
            <w:r w:rsidRPr="002D19F8">
              <w:rPr>
                <w:b/>
                <w:bCs/>
                <w:color w:val="1F1662"/>
                <w:sz w:val="20"/>
                <w:szCs w:val="20"/>
                <w:lang w:eastAsia="pl-PL"/>
              </w:rPr>
              <w:t xml:space="preserve">Czas naprawy lub obejścia incydenty niekrytycznego </w:t>
            </w:r>
          </w:p>
        </w:tc>
        <w:tc>
          <w:tcPr>
            <w:tcW w:w="4708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 xml:space="preserve">…………….(max </w:t>
            </w:r>
            <w:r w:rsidRPr="002D19F8">
              <w:rPr>
                <w:color w:val="000000"/>
                <w:sz w:val="20"/>
                <w:szCs w:val="20"/>
                <w:lang w:eastAsia="pl-PL"/>
              </w:rPr>
              <w:t xml:space="preserve"> 5 dni roboczych </w:t>
            </w:r>
            <w:r>
              <w:rPr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</w:tbl>
    <w:p w:rsidR="00817F72" w:rsidRDefault="00817F72" w:rsidP="00AD7A70">
      <w:pPr>
        <w:rPr>
          <w:b/>
          <w:bCs/>
          <w:color w:val="1F1763"/>
          <w:sz w:val="24"/>
          <w:szCs w:val="24"/>
        </w:rPr>
      </w:pPr>
    </w:p>
    <w:p w:rsidR="00817F72" w:rsidRDefault="00817F72" w:rsidP="00AD7A70">
      <w:pPr>
        <w:rPr>
          <w:b/>
          <w:bCs/>
          <w:color w:val="1F1763"/>
          <w:sz w:val="24"/>
          <w:szCs w:val="24"/>
        </w:rPr>
      </w:pPr>
    </w:p>
    <w:p w:rsidR="00817F72" w:rsidRPr="002D19F8" w:rsidRDefault="00817F72" w:rsidP="002D19F8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  <w:lang w:eastAsia="pl-PL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141"/>
        <w:gridCol w:w="5141"/>
      </w:tblGrid>
      <w:tr w:rsidR="00817F72" w:rsidRPr="002D19F8">
        <w:trPr>
          <w:trHeight w:val="224"/>
        </w:trPr>
        <w:tc>
          <w:tcPr>
            <w:tcW w:w="10282" w:type="dxa"/>
            <w:gridSpan w:val="2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Słownik pojęć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5138"/>
              <w:gridCol w:w="5138"/>
            </w:tblGrid>
            <w:tr w:rsidR="00817F72" w:rsidRPr="002D19F8">
              <w:trPr>
                <w:trHeight w:val="224"/>
              </w:trPr>
              <w:tc>
                <w:tcPr>
                  <w:tcW w:w="51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F72" w:rsidRPr="002D19F8" w:rsidRDefault="00817F72" w:rsidP="002D19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1F1662"/>
                      <w:sz w:val="20"/>
                      <w:szCs w:val="20"/>
                      <w:lang w:eastAsia="pl-PL"/>
                    </w:rPr>
                  </w:pPr>
                  <w:r w:rsidRPr="002D19F8">
                    <w:rPr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2D19F8">
                    <w:rPr>
                      <w:b/>
                      <w:bCs/>
                      <w:color w:val="1F1662"/>
                      <w:sz w:val="20"/>
                      <w:szCs w:val="20"/>
                      <w:lang w:eastAsia="pl-PL"/>
                    </w:rPr>
                    <w:t xml:space="preserve">Incydent </w:t>
                  </w:r>
                </w:p>
              </w:tc>
              <w:tc>
                <w:tcPr>
                  <w:tcW w:w="51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F72" w:rsidRPr="002D19F8" w:rsidRDefault="00817F72" w:rsidP="002D19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2D19F8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Przypadek, w którym świadczona przez Usługodawcę usługa lub jej część jest niedostępna* lub działa w sposób niezgodny z Umową* </w:t>
                  </w:r>
                </w:p>
              </w:tc>
            </w:tr>
            <w:tr w:rsidR="00817F72" w:rsidRPr="002D19F8">
              <w:trPr>
                <w:trHeight w:val="348"/>
              </w:trPr>
              <w:tc>
                <w:tcPr>
                  <w:tcW w:w="51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F72" w:rsidRPr="002D19F8" w:rsidRDefault="00817F72" w:rsidP="002D19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1F1662"/>
                      <w:sz w:val="20"/>
                      <w:szCs w:val="20"/>
                      <w:lang w:eastAsia="pl-PL"/>
                    </w:rPr>
                  </w:pPr>
                  <w:r w:rsidRPr="002D19F8">
                    <w:rPr>
                      <w:b/>
                      <w:bCs/>
                      <w:color w:val="1F1662"/>
                      <w:sz w:val="20"/>
                      <w:szCs w:val="20"/>
                      <w:lang w:eastAsia="pl-PL"/>
                    </w:rPr>
                    <w:t xml:space="preserve">Incydent krytyczny </w:t>
                  </w:r>
                </w:p>
              </w:tc>
              <w:tc>
                <w:tcPr>
                  <w:tcW w:w="51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F72" w:rsidRPr="002D19F8" w:rsidRDefault="00817F72" w:rsidP="002D19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2D19F8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Incydent, w którym Usługa jest niedostępna* lub jej działanie uniemożliwia realizację </w:t>
                  </w:r>
                </w:p>
              </w:tc>
            </w:tr>
          </w:tbl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817F72" w:rsidRPr="002D19F8">
        <w:trPr>
          <w:trHeight w:val="348"/>
        </w:trPr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1F1662"/>
                <w:sz w:val="20"/>
                <w:szCs w:val="20"/>
                <w:lang w:eastAsia="pl-PL"/>
              </w:rPr>
            </w:pPr>
            <w:r w:rsidRPr="002D19F8">
              <w:rPr>
                <w:b/>
                <w:bCs/>
                <w:color w:val="1F1662"/>
                <w:sz w:val="20"/>
                <w:szCs w:val="20"/>
                <w:lang w:eastAsia="pl-PL"/>
              </w:rPr>
              <w:t xml:space="preserve">Incydent krytyczny </w:t>
            </w:r>
          </w:p>
        </w:tc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D19F8">
              <w:rPr>
                <w:color w:val="000000"/>
                <w:sz w:val="20"/>
                <w:szCs w:val="20"/>
                <w:lang w:eastAsia="pl-PL"/>
              </w:rPr>
              <w:t xml:space="preserve">Incydent, w którym Usługa jest niedostępna* lub jej działanie uniemożliwia realizację podstawowych funkcjonalności Usługi tj. weryfikacja autentyczności leków i funkcjonalności te lub dostępność nie powracają po restarcie urządzenia, na którym usługa powinna działać </w:t>
            </w:r>
          </w:p>
        </w:tc>
      </w:tr>
      <w:tr w:rsidR="00817F72" w:rsidRPr="002D19F8">
        <w:trPr>
          <w:trHeight w:val="99"/>
        </w:trPr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D19F8">
              <w:rPr>
                <w:b/>
                <w:bCs/>
                <w:color w:val="1F1662"/>
                <w:sz w:val="20"/>
                <w:szCs w:val="20"/>
                <w:lang w:eastAsia="pl-PL"/>
              </w:rPr>
              <w:t xml:space="preserve">Incydent niekrytyczny </w:t>
            </w:r>
          </w:p>
        </w:tc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D19F8">
              <w:rPr>
                <w:color w:val="000000"/>
                <w:sz w:val="20"/>
                <w:szCs w:val="20"/>
                <w:lang w:eastAsia="pl-PL"/>
              </w:rPr>
              <w:t xml:space="preserve">Każdy inny incydent, który nie jest zgodny z definicją incydentu krytycznego </w:t>
            </w:r>
          </w:p>
        </w:tc>
      </w:tr>
      <w:tr w:rsidR="00817F72" w:rsidRPr="002D19F8">
        <w:trPr>
          <w:trHeight w:val="99"/>
        </w:trPr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1F1662"/>
                <w:sz w:val="20"/>
                <w:szCs w:val="20"/>
                <w:lang w:eastAsia="pl-PL"/>
              </w:rPr>
            </w:pPr>
            <w:r w:rsidRPr="002D19F8">
              <w:rPr>
                <w:b/>
                <w:bCs/>
                <w:color w:val="1F1662"/>
                <w:sz w:val="20"/>
                <w:szCs w:val="20"/>
                <w:lang w:eastAsia="pl-PL"/>
              </w:rPr>
              <w:t xml:space="preserve">Czas przyjmowania zgłoszeń </w:t>
            </w:r>
          </w:p>
        </w:tc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D19F8">
              <w:rPr>
                <w:color w:val="000000"/>
                <w:sz w:val="20"/>
                <w:szCs w:val="20"/>
                <w:lang w:eastAsia="pl-PL"/>
              </w:rPr>
              <w:t xml:space="preserve">Okres, w którym Usługodawca będzie dyspozycyjny do odbierania zgłoszeń Usługobiorcy </w:t>
            </w:r>
          </w:p>
        </w:tc>
      </w:tr>
      <w:tr w:rsidR="00817F72" w:rsidRPr="002D19F8">
        <w:trPr>
          <w:trHeight w:val="224"/>
        </w:trPr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1F1662"/>
                <w:sz w:val="20"/>
                <w:szCs w:val="20"/>
                <w:lang w:eastAsia="pl-PL"/>
              </w:rPr>
            </w:pPr>
            <w:r w:rsidRPr="002D19F8">
              <w:rPr>
                <w:b/>
                <w:bCs/>
                <w:color w:val="1F1662"/>
                <w:sz w:val="20"/>
                <w:szCs w:val="20"/>
                <w:lang w:eastAsia="pl-PL"/>
              </w:rPr>
              <w:t xml:space="preserve">Czas reakcji </w:t>
            </w:r>
          </w:p>
        </w:tc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D19F8">
              <w:rPr>
                <w:color w:val="000000"/>
                <w:sz w:val="20"/>
                <w:szCs w:val="20"/>
                <w:lang w:eastAsia="pl-PL"/>
              </w:rPr>
              <w:t xml:space="preserve">Okres od przyjęcia zgłoszenia błędu do podjęcia kontaktu zmierzającego do rozwiązania incydentu </w:t>
            </w:r>
          </w:p>
        </w:tc>
      </w:tr>
      <w:tr w:rsidR="00817F72" w:rsidRPr="002D19F8">
        <w:trPr>
          <w:trHeight w:val="99"/>
        </w:trPr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1F1662"/>
                <w:sz w:val="20"/>
                <w:szCs w:val="20"/>
                <w:lang w:eastAsia="pl-PL"/>
              </w:rPr>
            </w:pPr>
            <w:r w:rsidRPr="002D19F8">
              <w:rPr>
                <w:b/>
                <w:bCs/>
                <w:color w:val="1F1662"/>
                <w:sz w:val="20"/>
                <w:szCs w:val="20"/>
                <w:lang w:eastAsia="pl-PL"/>
              </w:rPr>
              <w:t xml:space="preserve">Naprawa </w:t>
            </w:r>
          </w:p>
        </w:tc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D19F8">
              <w:rPr>
                <w:color w:val="000000"/>
                <w:sz w:val="20"/>
                <w:szCs w:val="20"/>
                <w:lang w:eastAsia="pl-PL"/>
              </w:rPr>
              <w:t xml:space="preserve">Przywrócenie ciągłości działania systemu polegająca na wyeliminowaniu przyczyn zgłoszenia </w:t>
            </w:r>
          </w:p>
        </w:tc>
      </w:tr>
      <w:tr w:rsidR="00817F72" w:rsidRPr="002D19F8">
        <w:trPr>
          <w:trHeight w:val="225"/>
        </w:trPr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1F1662"/>
                <w:sz w:val="20"/>
                <w:szCs w:val="20"/>
                <w:lang w:eastAsia="pl-PL"/>
              </w:rPr>
            </w:pPr>
            <w:r w:rsidRPr="002D19F8">
              <w:rPr>
                <w:b/>
                <w:bCs/>
                <w:color w:val="1F1662"/>
                <w:sz w:val="20"/>
                <w:szCs w:val="20"/>
                <w:lang w:eastAsia="pl-PL"/>
              </w:rPr>
              <w:t xml:space="preserve">Obejście </w:t>
            </w:r>
          </w:p>
        </w:tc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D19F8">
              <w:rPr>
                <w:color w:val="000000"/>
                <w:sz w:val="20"/>
                <w:szCs w:val="20"/>
                <w:lang w:eastAsia="pl-PL"/>
              </w:rPr>
              <w:t xml:space="preserve">Tymczasowe przywrócenie ciągłości działania systemu, spowodowane np. koniecznością przeprowadzenia prac o większej czasochłonności lub wyższym stopniu skomplikowania </w:t>
            </w:r>
          </w:p>
        </w:tc>
      </w:tr>
      <w:tr w:rsidR="00817F72" w:rsidRPr="002D19F8">
        <w:trPr>
          <w:trHeight w:val="99"/>
        </w:trPr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1F1662"/>
                <w:sz w:val="20"/>
                <w:szCs w:val="20"/>
                <w:lang w:eastAsia="pl-PL"/>
              </w:rPr>
            </w:pPr>
            <w:r w:rsidRPr="002D19F8">
              <w:rPr>
                <w:b/>
                <w:bCs/>
                <w:color w:val="1F1662"/>
                <w:sz w:val="20"/>
                <w:szCs w:val="20"/>
                <w:lang w:eastAsia="pl-PL"/>
              </w:rPr>
              <w:t xml:space="preserve">Redukcja klasy incydentu </w:t>
            </w:r>
          </w:p>
        </w:tc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D19F8">
              <w:rPr>
                <w:color w:val="000000"/>
                <w:sz w:val="20"/>
                <w:szCs w:val="20"/>
                <w:lang w:eastAsia="pl-PL"/>
              </w:rPr>
              <w:t xml:space="preserve">Spowodowanie zmiany incydentu krytycznego na niekrytyczny </w:t>
            </w:r>
          </w:p>
        </w:tc>
      </w:tr>
      <w:tr w:rsidR="00817F72" w:rsidRPr="002D19F8">
        <w:trPr>
          <w:trHeight w:val="348"/>
        </w:trPr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D19F8">
              <w:rPr>
                <w:b/>
                <w:bCs/>
                <w:color w:val="1F1662"/>
                <w:sz w:val="20"/>
                <w:szCs w:val="20"/>
                <w:lang w:eastAsia="pl-PL"/>
              </w:rPr>
              <w:t xml:space="preserve">Czas naprawy, obejścia lub redukcji </w:t>
            </w:r>
          </w:p>
        </w:tc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D19F8">
              <w:rPr>
                <w:color w:val="000000"/>
                <w:sz w:val="20"/>
                <w:szCs w:val="20"/>
                <w:lang w:eastAsia="pl-PL"/>
              </w:rPr>
              <w:t xml:space="preserve">Okres, od zgłoszenia incydentu do momentu, w którym odpowiednio naprawa, obejście lub redukcja zostaną wykonane wyłączając łączny czas przerw spowodowanych np. oczekiwaniem na odpowiedź Usługobiorcy na zadane pytania </w:t>
            </w:r>
          </w:p>
        </w:tc>
      </w:tr>
      <w:tr w:rsidR="00817F72" w:rsidRPr="002D19F8">
        <w:trPr>
          <w:trHeight w:val="99"/>
        </w:trPr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1F1662"/>
                <w:sz w:val="20"/>
                <w:szCs w:val="20"/>
                <w:lang w:eastAsia="pl-PL"/>
              </w:rPr>
            </w:pPr>
            <w:r w:rsidRPr="002D19F8">
              <w:rPr>
                <w:b/>
                <w:bCs/>
                <w:color w:val="1F1662"/>
                <w:sz w:val="20"/>
                <w:szCs w:val="20"/>
                <w:lang w:eastAsia="pl-PL"/>
              </w:rPr>
              <w:t xml:space="preserve">Dzień roboczy </w:t>
            </w:r>
          </w:p>
        </w:tc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D19F8">
              <w:rPr>
                <w:color w:val="000000"/>
                <w:sz w:val="20"/>
                <w:szCs w:val="20"/>
                <w:lang w:eastAsia="pl-PL"/>
              </w:rPr>
              <w:t xml:space="preserve">Dzień od poniedziałku do piątku z wyłączeniem dni ustawowo wolnych od pracy </w:t>
            </w:r>
          </w:p>
        </w:tc>
      </w:tr>
      <w:tr w:rsidR="00817F72" w:rsidRPr="002D19F8">
        <w:trPr>
          <w:trHeight w:val="224"/>
        </w:trPr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1F1662"/>
                <w:sz w:val="20"/>
                <w:szCs w:val="20"/>
                <w:lang w:eastAsia="pl-PL"/>
              </w:rPr>
            </w:pPr>
            <w:r w:rsidRPr="002D19F8">
              <w:rPr>
                <w:b/>
                <w:bCs/>
                <w:color w:val="1F1662"/>
                <w:sz w:val="20"/>
                <w:szCs w:val="20"/>
                <w:lang w:eastAsia="pl-PL"/>
              </w:rPr>
              <w:t xml:space="preserve">Ilość dni roboczych </w:t>
            </w:r>
          </w:p>
        </w:tc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D19F8">
              <w:rPr>
                <w:color w:val="000000"/>
                <w:sz w:val="20"/>
                <w:szCs w:val="20"/>
                <w:lang w:eastAsia="pl-PL"/>
              </w:rPr>
              <w:t xml:space="preserve">Rozumiane jako ilość dni roboczych, które upłyną do kolejnego dnia, w którym incydent został zgłoszony </w:t>
            </w:r>
          </w:p>
        </w:tc>
      </w:tr>
      <w:tr w:rsidR="00817F72" w:rsidRPr="002D19F8">
        <w:trPr>
          <w:trHeight w:val="99"/>
        </w:trPr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1F1662"/>
                <w:sz w:val="20"/>
                <w:szCs w:val="20"/>
                <w:lang w:eastAsia="pl-PL"/>
              </w:rPr>
            </w:pPr>
            <w:r w:rsidRPr="002D19F8">
              <w:rPr>
                <w:b/>
                <w:bCs/>
                <w:color w:val="1F1662"/>
                <w:sz w:val="20"/>
                <w:szCs w:val="20"/>
                <w:lang w:eastAsia="pl-PL"/>
              </w:rPr>
              <w:t xml:space="preserve">Godziny robocze </w:t>
            </w:r>
          </w:p>
        </w:tc>
        <w:tc>
          <w:tcPr>
            <w:tcW w:w="5141" w:type="dxa"/>
          </w:tcPr>
          <w:p w:rsidR="00817F72" w:rsidRPr="002D19F8" w:rsidRDefault="00817F72" w:rsidP="002D19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D19F8">
              <w:rPr>
                <w:color w:val="000000"/>
                <w:sz w:val="20"/>
                <w:szCs w:val="20"/>
                <w:lang w:eastAsia="pl-PL"/>
              </w:rPr>
              <w:t xml:space="preserve">Godziny w dni robocze od 8:00 do 16:00 </w:t>
            </w:r>
          </w:p>
        </w:tc>
      </w:tr>
    </w:tbl>
    <w:p w:rsidR="00817F72" w:rsidRDefault="00817F72" w:rsidP="00AD7A70"/>
    <w:sectPr w:rsidR="00817F72" w:rsidSect="00487ADF">
      <w:headerReference w:type="default" r:id="rId7"/>
      <w:pgSz w:w="11906" w:h="16838"/>
      <w:pgMar w:top="1417" w:right="1417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F72" w:rsidRDefault="00817F72" w:rsidP="00513275">
      <w:pPr>
        <w:spacing w:after="0" w:line="240" w:lineRule="auto"/>
      </w:pPr>
      <w:r>
        <w:separator/>
      </w:r>
    </w:p>
  </w:endnote>
  <w:endnote w:type="continuationSeparator" w:id="1">
    <w:p w:rsidR="00817F72" w:rsidRDefault="00817F72" w:rsidP="0051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F72" w:rsidRDefault="00817F72" w:rsidP="00513275">
      <w:pPr>
        <w:spacing w:after="0" w:line="240" w:lineRule="auto"/>
      </w:pPr>
      <w:r>
        <w:separator/>
      </w:r>
    </w:p>
  </w:footnote>
  <w:footnote w:type="continuationSeparator" w:id="1">
    <w:p w:rsidR="00817F72" w:rsidRDefault="00817F72" w:rsidP="00513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F72" w:rsidRDefault="00817F72" w:rsidP="00C75E8D">
    <w:pPr>
      <w:jc w:val="right"/>
      <w:rPr>
        <w:b/>
        <w:bCs/>
      </w:rPr>
    </w:pPr>
    <w:r w:rsidRPr="00AD7A70">
      <w:rPr>
        <w:b/>
        <w:bCs/>
      </w:rPr>
      <w:t xml:space="preserve">Załącznik nr </w:t>
    </w:r>
    <w:r>
      <w:rPr>
        <w:b/>
        <w:bCs/>
      </w:rPr>
      <w:t xml:space="preserve">2 </w:t>
    </w:r>
    <w:r w:rsidRPr="00AD7A70">
      <w:rPr>
        <w:b/>
        <w:bCs/>
      </w:rPr>
      <w:t xml:space="preserve">do </w:t>
    </w:r>
    <w:r>
      <w:rPr>
        <w:b/>
        <w:bCs/>
      </w:rPr>
      <w:t>Zaproszenia do złożenia oferty ostatecznej – 107.Pu.2024 -  Deklaracja Abonamentu</w:t>
    </w:r>
  </w:p>
  <w:p w:rsidR="00817F72" w:rsidRDefault="00817F72" w:rsidP="00EB2CF9">
    <w:pPr>
      <w:rPr>
        <w:b/>
        <w:bCs/>
      </w:rPr>
    </w:pPr>
  </w:p>
  <w:p w:rsidR="00817F72" w:rsidRPr="00487ADF" w:rsidRDefault="00817F72" w:rsidP="00C75E8D">
    <w:pPr>
      <w:spacing w:after="0"/>
      <w:jc w:val="right"/>
      <w:rPr>
        <w:b/>
        <w:bCs/>
        <w:color w:val="002060"/>
        <w:sz w:val="28"/>
        <w:szCs w:val="28"/>
      </w:rPr>
    </w:pPr>
    <w:r w:rsidRPr="00487ADF">
      <w:rPr>
        <w:b/>
        <w:bCs/>
        <w:color w:val="002060"/>
        <w:sz w:val="28"/>
        <w:szCs w:val="28"/>
      </w:rPr>
      <w:t xml:space="preserve">System Weryfikacji Autentyczności Leków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7380E"/>
    <w:multiLevelType w:val="hybridMultilevel"/>
    <w:tmpl w:val="105879D4"/>
    <w:lvl w:ilvl="0" w:tplc="7170577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E965B60"/>
    <w:multiLevelType w:val="hybridMultilevel"/>
    <w:tmpl w:val="AB4C2FB0"/>
    <w:lvl w:ilvl="0" w:tplc="EF820FA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38658DC"/>
    <w:multiLevelType w:val="hybridMultilevel"/>
    <w:tmpl w:val="B8484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47604"/>
    <w:multiLevelType w:val="hybridMultilevel"/>
    <w:tmpl w:val="811CA17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B3285"/>
    <w:multiLevelType w:val="hybridMultilevel"/>
    <w:tmpl w:val="A84E467C"/>
    <w:lvl w:ilvl="0" w:tplc="935EFF46">
      <w:start w:val="1"/>
      <w:numFmt w:val="decimal"/>
      <w:lvlText w:val="%1."/>
      <w:lvlJc w:val="left"/>
      <w:pPr>
        <w:ind w:left="720" w:hanging="360"/>
      </w:pPr>
      <w:rPr>
        <w:rFonts w:hint="default"/>
        <w:color w:val="1F1763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E3290A"/>
    <w:multiLevelType w:val="hybridMultilevel"/>
    <w:tmpl w:val="E46EE310"/>
    <w:lvl w:ilvl="0" w:tplc="9914394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F1F53F4"/>
    <w:multiLevelType w:val="hybridMultilevel"/>
    <w:tmpl w:val="30AED270"/>
    <w:lvl w:ilvl="0" w:tplc="DCCAEBC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4F81F68"/>
    <w:multiLevelType w:val="hybridMultilevel"/>
    <w:tmpl w:val="E5522628"/>
    <w:lvl w:ilvl="0" w:tplc="2FD428A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3"/>
        <w:szCs w:val="23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7A70"/>
    <w:rsid w:val="000016F0"/>
    <w:rsid w:val="00016AF3"/>
    <w:rsid w:val="00022C2D"/>
    <w:rsid w:val="000939A6"/>
    <w:rsid w:val="000C14C2"/>
    <w:rsid w:val="000C6CDE"/>
    <w:rsid w:val="001A5960"/>
    <w:rsid w:val="001B25B5"/>
    <w:rsid w:val="001C0876"/>
    <w:rsid w:val="001D2F26"/>
    <w:rsid w:val="00207461"/>
    <w:rsid w:val="00252679"/>
    <w:rsid w:val="002578C6"/>
    <w:rsid w:val="00285014"/>
    <w:rsid w:val="002C6B19"/>
    <w:rsid w:val="002D19F8"/>
    <w:rsid w:val="002E1236"/>
    <w:rsid w:val="002E6F14"/>
    <w:rsid w:val="002E7BFA"/>
    <w:rsid w:val="003B6E78"/>
    <w:rsid w:val="00424955"/>
    <w:rsid w:val="0043571E"/>
    <w:rsid w:val="00462C01"/>
    <w:rsid w:val="00487ADF"/>
    <w:rsid w:val="004B1C2D"/>
    <w:rsid w:val="004D1AFC"/>
    <w:rsid w:val="004F108F"/>
    <w:rsid w:val="004F58B3"/>
    <w:rsid w:val="00513275"/>
    <w:rsid w:val="005179EF"/>
    <w:rsid w:val="00523951"/>
    <w:rsid w:val="00527B95"/>
    <w:rsid w:val="00552C6B"/>
    <w:rsid w:val="00580F08"/>
    <w:rsid w:val="005A38FB"/>
    <w:rsid w:val="005A7E89"/>
    <w:rsid w:val="005C555B"/>
    <w:rsid w:val="005D2339"/>
    <w:rsid w:val="005E300E"/>
    <w:rsid w:val="005E4329"/>
    <w:rsid w:val="005E463B"/>
    <w:rsid w:val="006019D5"/>
    <w:rsid w:val="00646D54"/>
    <w:rsid w:val="006555A7"/>
    <w:rsid w:val="00666BB0"/>
    <w:rsid w:val="0067482E"/>
    <w:rsid w:val="006A225D"/>
    <w:rsid w:val="007318DE"/>
    <w:rsid w:val="00734F6C"/>
    <w:rsid w:val="007440FC"/>
    <w:rsid w:val="00764F76"/>
    <w:rsid w:val="007A3C33"/>
    <w:rsid w:val="007C7D8E"/>
    <w:rsid w:val="007E3270"/>
    <w:rsid w:val="00817F72"/>
    <w:rsid w:val="00852C8B"/>
    <w:rsid w:val="00873F1D"/>
    <w:rsid w:val="008777A0"/>
    <w:rsid w:val="00890E9C"/>
    <w:rsid w:val="00892937"/>
    <w:rsid w:val="00897F8D"/>
    <w:rsid w:val="008A09AB"/>
    <w:rsid w:val="008B2322"/>
    <w:rsid w:val="008C6ED3"/>
    <w:rsid w:val="008C7CC7"/>
    <w:rsid w:val="008F0B6B"/>
    <w:rsid w:val="00904A40"/>
    <w:rsid w:val="00947080"/>
    <w:rsid w:val="00961E66"/>
    <w:rsid w:val="00976688"/>
    <w:rsid w:val="009A3863"/>
    <w:rsid w:val="009C36CF"/>
    <w:rsid w:val="009C7AAE"/>
    <w:rsid w:val="009D19E6"/>
    <w:rsid w:val="009E6F8C"/>
    <w:rsid w:val="00A10AC4"/>
    <w:rsid w:val="00AD4665"/>
    <w:rsid w:val="00AD5056"/>
    <w:rsid w:val="00AD6417"/>
    <w:rsid w:val="00AD7A70"/>
    <w:rsid w:val="00B15E97"/>
    <w:rsid w:val="00B37963"/>
    <w:rsid w:val="00B633CE"/>
    <w:rsid w:val="00BD07A5"/>
    <w:rsid w:val="00BF7B50"/>
    <w:rsid w:val="00C3249F"/>
    <w:rsid w:val="00C3323E"/>
    <w:rsid w:val="00C34EE6"/>
    <w:rsid w:val="00C35445"/>
    <w:rsid w:val="00C47B43"/>
    <w:rsid w:val="00C75E8D"/>
    <w:rsid w:val="00C77982"/>
    <w:rsid w:val="00CB1435"/>
    <w:rsid w:val="00CD0E7C"/>
    <w:rsid w:val="00CD60D6"/>
    <w:rsid w:val="00D35BB7"/>
    <w:rsid w:val="00D43101"/>
    <w:rsid w:val="00DA31F7"/>
    <w:rsid w:val="00DC0DE6"/>
    <w:rsid w:val="00DC4B65"/>
    <w:rsid w:val="00DF0A5B"/>
    <w:rsid w:val="00E1232A"/>
    <w:rsid w:val="00E1406B"/>
    <w:rsid w:val="00E4383B"/>
    <w:rsid w:val="00E73986"/>
    <w:rsid w:val="00E7642B"/>
    <w:rsid w:val="00EB2CF9"/>
    <w:rsid w:val="00ED73B8"/>
    <w:rsid w:val="00F40E2B"/>
    <w:rsid w:val="00F4301F"/>
    <w:rsid w:val="00F57700"/>
    <w:rsid w:val="00F837E0"/>
    <w:rsid w:val="00F901B5"/>
    <w:rsid w:val="00FD185A"/>
    <w:rsid w:val="00FD1C55"/>
    <w:rsid w:val="00FD2C52"/>
    <w:rsid w:val="00FD4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0D6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D7A7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07461"/>
    <w:pPr>
      <w:ind w:left="720"/>
    </w:pPr>
  </w:style>
  <w:style w:type="paragraph" w:styleId="Header">
    <w:name w:val="header"/>
    <w:basedOn w:val="Normal"/>
    <w:link w:val="HeaderChar"/>
    <w:uiPriority w:val="99"/>
    <w:rsid w:val="0051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13275"/>
  </w:style>
  <w:style w:type="paragraph" w:styleId="Footer">
    <w:name w:val="footer"/>
    <w:basedOn w:val="Normal"/>
    <w:link w:val="FooterChar"/>
    <w:uiPriority w:val="99"/>
    <w:rsid w:val="0051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13275"/>
  </w:style>
  <w:style w:type="character" w:styleId="CommentReference">
    <w:name w:val="annotation reference"/>
    <w:basedOn w:val="DefaultParagraphFont"/>
    <w:uiPriority w:val="99"/>
    <w:semiHidden/>
    <w:rsid w:val="002E12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E12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E12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E12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E1236"/>
    <w:rPr>
      <w:b/>
      <w:bCs/>
    </w:rPr>
  </w:style>
  <w:style w:type="paragraph" w:customStyle="1" w:styleId="Default">
    <w:name w:val="Default"/>
    <w:uiPriority w:val="99"/>
    <w:rsid w:val="002D19F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06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319</Words>
  <Characters>1918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</dc:title>
  <dc:subject/>
  <dc:creator>Dudas, Zuzanna (LideoTech)</dc:creator>
  <cp:keywords/>
  <dc:description/>
  <cp:lastModifiedBy>agszalachowska</cp:lastModifiedBy>
  <cp:revision>7</cp:revision>
  <cp:lastPrinted>2021-11-23T10:48:00Z</cp:lastPrinted>
  <dcterms:created xsi:type="dcterms:W3CDTF">2025-02-11T09:09:00Z</dcterms:created>
  <dcterms:modified xsi:type="dcterms:W3CDTF">2025-02-11T11:18:00Z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0x010100DCAD8618D433D048B69AC3AF5C5967F5</vt:lpwstr>
  </property>
</Properties>
</file>