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94F" w:rsidRDefault="00A2194F" w:rsidP="00C0639B">
      <w:pPr>
        <w:pStyle w:val="BodyTextIndent"/>
        <w:rPr>
          <w:rFonts w:ascii="Arial Narrow" w:hAnsi="Arial Narrow" w:cs="Arial Narrow"/>
          <w:b/>
          <w:bCs/>
          <w:sz w:val="24"/>
          <w:szCs w:val="24"/>
        </w:rPr>
      </w:pPr>
    </w:p>
    <w:p w:rsidR="00A2194F" w:rsidRDefault="00A2194F" w:rsidP="00C0639B">
      <w:pPr>
        <w:pStyle w:val="BodyTextIndent"/>
        <w:rPr>
          <w:rFonts w:ascii="Arial Narrow" w:hAnsi="Arial Narrow" w:cs="Arial Narrow"/>
          <w:b/>
          <w:bCs/>
          <w:sz w:val="24"/>
          <w:szCs w:val="24"/>
        </w:rPr>
      </w:pPr>
    </w:p>
    <w:p w:rsidR="00A2194F" w:rsidRDefault="00A2194F" w:rsidP="00C0639B">
      <w:pPr>
        <w:pStyle w:val="BodyTextIndent"/>
        <w:rPr>
          <w:rFonts w:ascii="Arial Narrow" w:hAnsi="Arial Narrow" w:cs="Arial Narrow"/>
          <w:b/>
          <w:bCs/>
          <w:sz w:val="24"/>
          <w:szCs w:val="24"/>
        </w:rPr>
      </w:pPr>
    </w:p>
    <w:p w:rsidR="00A2194F" w:rsidRPr="001520BF" w:rsidRDefault="00A2194F" w:rsidP="00C0639B">
      <w:pPr>
        <w:pStyle w:val="BodyTextIndent"/>
        <w:rPr>
          <w:rFonts w:ascii="Arial Narrow" w:hAnsi="Arial Narrow" w:cs="Arial Narrow"/>
          <w:b/>
          <w:bCs/>
          <w:sz w:val="24"/>
          <w:szCs w:val="24"/>
        </w:rPr>
      </w:pPr>
    </w:p>
    <w:p w:rsidR="00A2194F" w:rsidRPr="008F5DEB" w:rsidRDefault="00A2194F" w:rsidP="0077445C">
      <w:pPr>
        <w:pStyle w:val="BodyTextIndent"/>
        <w:jc w:val="center"/>
        <w:rPr>
          <w:rFonts w:ascii="Arial Narrow" w:hAnsi="Arial Narrow" w:cs="Arial Narrow"/>
          <w:b/>
          <w:bCs/>
          <w:color w:val="FF0000"/>
          <w:sz w:val="52"/>
          <w:szCs w:val="52"/>
        </w:rPr>
      </w:pPr>
      <w:r w:rsidRPr="001520BF">
        <w:rPr>
          <w:rFonts w:ascii="Arial Narrow" w:hAnsi="Arial Narrow" w:cs="Arial Narrow"/>
          <w:b/>
          <w:bCs/>
          <w:sz w:val="32"/>
          <w:szCs w:val="32"/>
        </w:rPr>
        <w:t>OPIS PRZEDMIOTU ZAMÓWIENIA</w:t>
      </w:r>
      <w:r>
        <w:rPr>
          <w:rFonts w:ascii="Arial Narrow" w:hAnsi="Arial Narrow" w:cs="Arial Narrow"/>
          <w:b/>
          <w:bCs/>
          <w:sz w:val="32"/>
          <w:szCs w:val="32"/>
        </w:rPr>
        <w:t xml:space="preserve"> </w:t>
      </w:r>
    </w:p>
    <w:p w:rsidR="00A2194F" w:rsidRDefault="00A2194F" w:rsidP="004B0CCB">
      <w:pPr>
        <w:numPr>
          <w:ilvl w:val="0"/>
          <w:numId w:val="31"/>
        </w:numPr>
        <w:spacing w:before="120" w:after="120"/>
        <w:ind w:left="391" w:hanging="391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pacing w:val="-4"/>
          <w:sz w:val="22"/>
          <w:szCs w:val="22"/>
        </w:rPr>
        <w:t>Ubezpieczenie Odpowiedzialności Cywilnej posiadacza pojazdów mechanicznych (OC)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Wykonawca przyjmie zakres ubezpieczenia oraz sumy gwarancyjne zgodnie z ustawą z dnia 22 maja 2003 r. o ubezpieczeniach obowiązkowych, Ubezpieczeniowym Funduszu Gwarancyjnym i Polskim Biurze Ubezpieczycieli Komunikacyjnych (Dz. U. z 2003r. Nr 124, poz. 1152 z późn. zm.).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Ubezpieczeniem zostają objęte pojazdy wymienione w załączniku nr 3 do zaproszenia w terminach zgodnych z ekspiracją dotychczasowych polis.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B719E2">
        <w:rPr>
          <w:rFonts w:ascii="Calibri" w:hAnsi="Calibri" w:cs="Calibri"/>
          <w:sz w:val="22"/>
          <w:szCs w:val="22"/>
        </w:rPr>
        <w:t>Wykonawca udziela ochrony ubezpieczeniowej w ramach ubezpieczenia obowiązkowego OC posiadaczy pojazdów mechanicznych od chwili zgłoszenia pojazdu do ubezpieczenia na okres 12 miesięcy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,</w:t>
      </w:r>
    </w:p>
    <w:p w:rsidR="00A2194F" w:rsidRPr="00B719E2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B719E2">
        <w:rPr>
          <w:rFonts w:ascii="Calibri" w:hAnsi="Calibri" w:cs="Calibri"/>
          <w:sz w:val="22"/>
          <w:szCs w:val="22"/>
        </w:rPr>
        <w:t xml:space="preserve">Składka z tytułu ubezpieczenia OC płatna jest </w:t>
      </w:r>
      <w:r>
        <w:rPr>
          <w:rFonts w:ascii="Calibri" w:hAnsi="Calibri" w:cs="Calibri"/>
          <w:sz w:val="22"/>
          <w:szCs w:val="22"/>
        </w:rPr>
        <w:t>w miesięcznych ratach, rozłożonych proporcjonalnie do okresu obowiązywania umowy, do 27-go dnia każdego miesiąca.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Pojazdy nowo nabyte będą automatycznie objęte ubezpieczeniem na warunkach określonych w umowie i na takich samych stawkach ustalonych dla odpowiedniej kategorii pojazdu.</w:t>
      </w:r>
    </w:p>
    <w:p w:rsidR="00A2194F" w:rsidRDefault="00A2194F" w:rsidP="004B0CCB">
      <w:pPr>
        <w:numPr>
          <w:ilvl w:val="0"/>
          <w:numId w:val="31"/>
        </w:numPr>
        <w:spacing w:before="120" w:after="120"/>
        <w:ind w:left="391" w:hanging="391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Ubezpieczenie pojazdów lądowych od utraty, zniszczenia lub uszkodzenia „AUTO CASCO” (AC)</w:t>
      </w:r>
    </w:p>
    <w:p w:rsidR="00A2194F" w:rsidRDefault="00A2194F" w:rsidP="004B0CCB">
      <w:pPr>
        <w:numPr>
          <w:ilvl w:val="1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Ubezpieczeniem powinny być objęte szkody polegające na uszkodzeniu, zniszczeniu lub utracie pojazdu, jego części lub wyposażenia w związku z ruchem i postojem pojazdu.</w:t>
      </w:r>
    </w:p>
    <w:p w:rsidR="00A2194F" w:rsidRDefault="00A2194F" w:rsidP="004B0CCB">
      <w:pPr>
        <w:numPr>
          <w:ilvl w:val="1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Zakresem powinny być objęte, co najmniej szkody powstałe w wyniku: </w:t>
      </w:r>
    </w:p>
    <w:p w:rsidR="00A2194F" w:rsidRDefault="00A2194F" w:rsidP="004B0CCB">
      <w:pPr>
        <w:numPr>
          <w:ilvl w:val="2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zdarzeń losowych: powodzi, zatopienia lub zalania, uderzenia pioruna, pożaru, wybuchu, opadu atmosferycznego, huraganu, osuwania lub zapadania się ziemi, nagłego działania czynnika termicznego lub chemicznego pochodzącego z zewnątrz pojazdu,</w:t>
      </w:r>
    </w:p>
    <w:p w:rsidR="00A2194F" w:rsidRDefault="00A2194F" w:rsidP="004B0CCB">
      <w:pPr>
        <w:numPr>
          <w:ilvl w:val="2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kradzież pojazdu, jego części lub jego wyposażenia lub uszkodzenie pojazdu </w:t>
      </w:r>
      <w:r>
        <w:rPr>
          <w:rFonts w:ascii="Calibri" w:hAnsi="Calibri" w:cs="Calibri"/>
          <w:sz w:val="22"/>
          <w:szCs w:val="22"/>
        </w:rPr>
        <w:br/>
        <w:t>w następstwie kradzieży,</w:t>
      </w:r>
    </w:p>
    <w:p w:rsidR="00A2194F" w:rsidRDefault="00A2194F" w:rsidP="004B0CCB">
      <w:pPr>
        <w:numPr>
          <w:ilvl w:val="2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działania osób trzecich, w tym również włamania,</w:t>
      </w:r>
    </w:p>
    <w:p w:rsidR="00A2194F" w:rsidRDefault="00A2194F" w:rsidP="004B0CCB">
      <w:pPr>
        <w:numPr>
          <w:ilvl w:val="2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działania siły mechanicznej w chwili zetknięcia pojazdu z innym pojazdem, osobami, przedmiotami lub zwierzętami,</w:t>
      </w:r>
    </w:p>
    <w:p w:rsidR="00A2194F" w:rsidRDefault="00A2194F" w:rsidP="004B0CCB">
      <w:pPr>
        <w:numPr>
          <w:ilvl w:val="2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uszkodzeń pojazdu w następstwie jego zabrania w celu krótkotrwałego użycia,</w:t>
      </w:r>
    </w:p>
    <w:p w:rsidR="00A2194F" w:rsidRDefault="00A2194F" w:rsidP="004B0CCB">
      <w:pPr>
        <w:numPr>
          <w:ilvl w:val="2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uszkodzeń w związku z ruchem i postojem pojazdu, </w:t>
      </w:r>
    </w:p>
    <w:p w:rsidR="00A2194F" w:rsidRDefault="00A2194F" w:rsidP="004B0CCB">
      <w:pPr>
        <w:numPr>
          <w:ilvl w:val="2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uszkodzeń pojazdu lub jego wyposażenia w czasie akcji ratowania życia lub zdrowia ludzkiego.</w:t>
      </w:r>
    </w:p>
    <w:p w:rsidR="00A2194F" w:rsidRPr="00EF176D" w:rsidRDefault="00A2194F" w:rsidP="004B0CCB">
      <w:pPr>
        <w:numPr>
          <w:ilvl w:val="1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Jeżeli ogólne warunki ubezpieczenia Auto Casco Wykonawcy obejmują ochroną ubezpieczeniową ryzyka, </w:t>
      </w:r>
      <w:r w:rsidRPr="00EF176D">
        <w:rPr>
          <w:rFonts w:ascii="Calibri" w:hAnsi="Calibri" w:cs="Calibri"/>
          <w:sz w:val="22"/>
          <w:szCs w:val="22"/>
        </w:rPr>
        <w:t>które nie zostały uwzględnione w opisie przedmiotu zamówienia, zakresem ubezpieczenia będą objęte również zdarzenia szkodowe powstałe w wyniku tych ryzyk.</w:t>
      </w:r>
    </w:p>
    <w:p w:rsidR="00A2194F" w:rsidRPr="00956F32" w:rsidRDefault="00A2194F" w:rsidP="004B0CCB">
      <w:pPr>
        <w:numPr>
          <w:ilvl w:val="1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956F32">
        <w:rPr>
          <w:rFonts w:ascii="Calibri" w:hAnsi="Calibri" w:cs="Calibri"/>
          <w:sz w:val="22"/>
          <w:szCs w:val="22"/>
        </w:rPr>
        <w:t>Ochroną ubezpieczeniową objęte są szkody powstałe na terytorium Europy.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terenie Ukrainy, Rosji, Białorusi i Mołdawii ubezpieczeniem nie są objęte szkody polegające na kradzieży pojazdu lub jego części. Zamawiający będzie mógł rozszerzyć zakres ubezpieczenia o to ryzyko po zapłaceniu składki zgodnej z taryfami Zamawiającego. Na chwilę obecną Zamawiający nie przewiduje jednak rozszerzenia zakresu terytorialnego ubezpieczenia AC.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Ubezpieczeniem zostają objęte pojazdy wymienione w załączniku nr 3 do zaproszenia, dla których w kolumnie zakres ubezpieczenia występuje skrót AC.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4"/>
          <w:sz w:val="22"/>
          <w:szCs w:val="22"/>
        </w:rPr>
        <w:t>Wykonawca udziela ochrony ubezpieczeniowej w ramach ubezpieczenia Auto Casco od chwili zgłoszenia pojazdu do ubezpieczenia.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Suma ubezpieczenia pojazdów objętych ubezpieczeniem „Auto Casco” wynika z zapisów księgowych Zamawiającego lub wykonanego przez niego oszacowania wartości rynkowej pojazdu, czyli wartości ustalonej na podstawie notowań rynkowych, cen pojazdów danej marki i typu, obowiązujących na terenie Rzeczypospolitej Polskiej, z uwzględnieniem cech indywidualnych, w szczególności: roku produkcji, wyposażenia, przebiegu i stanu technicznego pojazdu. Wartość rynkowa pojazdu jest ustalana w oparciu o system Eurotax lub Info-Ekspert.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Odszkodowanie będzie płatne bez potrącenia udziałów własnych</w:t>
      </w:r>
      <w:r>
        <w:rPr>
          <w:rFonts w:ascii="Calibri" w:hAnsi="Calibri" w:cs="Calibri"/>
          <w:sz w:val="22"/>
          <w:szCs w:val="22"/>
        </w:rPr>
        <w:t>/franszyzy redukcyjnej.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wymaga, aby stosowne zapisy Ogólnych lub/i Szczególnych Warunków Ubezpieczenia precyzowały wielkość franszyzy integralnej w wysokości nie większej niż 500 zł. Zamawiający zastrzega jednak, że w przypadku gdy Ogólne Warunki Ubezpieczenia  przewidują niższą franszyzę integralną, ubezpieczyciel stosować będzie franszyzę redukcyjną zgodna z ogólnymi warunkami ubezpieczenia. 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 ustalaniu kwoty odszkodowania nie będą stosowane potrącenia z tytułu zużycia części zakwalifikowanych do naprawy.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Rozliczenie szkód częściowych może być realizowane na rachunek Ubezpieczonego lub na rachunek zakładu naprawczego. O wyborze wariantu decyduje </w:t>
      </w:r>
      <w:r>
        <w:rPr>
          <w:rFonts w:ascii="Calibri" w:hAnsi="Calibri" w:cs="Calibri"/>
          <w:b/>
          <w:bCs/>
          <w:sz w:val="22"/>
          <w:szCs w:val="22"/>
        </w:rPr>
        <w:t>Zamawiający.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odpowiada za szkody powstałe w pojazdach nieposiadających ważnego badania technicznego pojazdu, o ile od dnia upływu terminu ważności badania technicznego nie upłynęło więcej niż 30 dni, a stan techniczny pojazdu nie miał wpływu na powstanie szkody.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przyjmuje odpowiedzialność w przypadku, gdyby pojazd uszkodzony wcześniej wskutek zdarzenia, którego koszt likwidacji przewyższał ustaloną w obowiązujących przepisach granicę narzucającą wykonanie badań technicznych po szkodzie, takowych badań nie posiadał.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nie będzie stosował ograniczeń w wypłacie odszkodowania w związku z popełnionym przez kierującego pojazdem </w:t>
      </w:r>
      <w:r>
        <w:rPr>
          <w:rFonts w:ascii="Calibri" w:hAnsi="Calibri" w:cs="Calibri"/>
          <w:b/>
          <w:bCs/>
          <w:sz w:val="22"/>
          <w:szCs w:val="22"/>
        </w:rPr>
        <w:t>wykroczeniem</w:t>
      </w:r>
      <w:r>
        <w:rPr>
          <w:rFonts w:ascii="Calibri" w:hAnsi="Calibri" w:cs="Calibri"/>
          <w:sz w:val="22"/>
          <w:szCs w:val="22"/>
        </w:rPr>
        <w:t xml:space="preserve"> drogowym takim jak: wymuszenie pierwszeństwa przejazdu, wyprzedzanie w miejscu niedozwolonym, wjazd na skrzyżowanie przy czerwonym świetle, nieprzestrzegania znaku STOP, przekroczenia dozwolonej prędkości, rozmowa przez kierującego w czasie jazdy przez telefon komórkowy.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odpowiada za szkody w pojeździe powstałe wskutek wjechania przez pojazd w </w:t>
      </w:r>
      <w:r>
        <w:rPr>
          <w:rFonts w:ascii="Calibri" w:hAnsi="Calibri" w:cs="Calibri"/>
          <w:b/>
          <w:bCs/>
          <w:sz w:val="22"/>
          <w:szCs w:val="22"/>
        </w:rPr>
        <w:t>nierówność na drodze</w:t>
      </w:r>
      <w:r>
        <w:rPr>
          <w:rFonts w:ascii="Calibri" w:hAnsi="Calibri" w:cs="Calibri"/>
          <w:sz w:val="22"/>
          <w:szCs w:val="22"/>
        </w:rPr>
        <w:t xml:space="preserve"> (tzw. „dziura”).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Pojazdy włączane do ubezpieczenia w trakcie trwania umowy generalnej, kupowane, jako fabrycznie nowe będą przyjęte do ubezpieczenia bez konieczności dokonywania oględzin i sporządzania dokumentacji fotograficznej. 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Pojazdy znajdujące się obecnie na stanie Zamawiającego, dla których zachowana zostanie ciągłość ubezpieczenia Auto Casco niezależnie od zakładu ubezpieczeń, w którym są obecnie ubezpieczone, będą przyjęte do ubezpieczenia bez konieczności dokonywania oględzin i sporządzania dokumentacji fotograficznej. 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Zakres pokrycia ubezpieczeniowego jest jednakowy dla wszystkich pojazdów.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Składka z tytułu ubezpieczenia Auto Casco płatna jest w 12 ratach. 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4"/>
          <w:sz w:val="22"/>
          <w:szCs w:val="22"/>
        </w:rPr>
        <w:t>Zamawiający będzie zawiadamiał Wykonawcę o szkodzie bez zbędnej zwłoki, nie później jednak niż w ciągu 7 dni od daty powstania szkody lub powzięcia wiadomości o niej (dotyczy roszczeń z ubezpieczenia Auto Casco).</w:t>
      </w:r>
    </w:p>
    <w:p w:rsidR="00A2194F" w:rsidRDefault="00A2194F" w:rsidP="004B0CCB">
      <w:pPr>
        <w:numPr>
          <w:ilvl w:val="0"/>
          <w:numId w:val="31"/>
        </w:numPr>
        <w:spacing w:before="120" w:after="120"/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pacing w:val="-4"/>
          <w:sz w:val="22"/>
          <w:szCs w:val="22"/>
        </w:rPr>
        <w:t>Ubezpieczenie Następstw Nieszczęśliwych Wypadków kierowcy i pasażerów (NNW).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 ubezpieczenia obejmuje następstwa nieszczęśliwych wypadków kierowcy i pasażerów pojazdów będących własnością lub w posiadaniu Zamawiającego, wymienionych w załączniku nr 3 do zaproszenia.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Ochrona ubezpieczeniowa obejmuje kierowcę i pasażerów ubezpieczonych pojazdów w liczbie zgodnej z liczbą miejsc przewidzianą przez producenta pojazdu. 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Przedmiotem ubezpieczenia są trwałe następstwa nieszczęśliwych wypadków (w tym także następstwa zawałów serca i udarów mózgu występujących nagle i nie spowodowanych stanem chorobowym) polegające na uszkodzeniu ciała lub rozstroju zdrowia i powstałe w związku z użytkowaniem pojazdów mechanicznych na terytorium RP oraz za granicą,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określa sumę ubezpieczenia na jedną osobę w wysokości 10 000,00 zł.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Ubezpieczeniem zostają objęte pojazdy wymienione w załączniku nr 3 do zaproszenia w terminach zgodnych z ekspiracją dotychczasowych polis.</w:t>
      </w:r>
    </w:p>
    <w:p w:rsidR="00A2194F" w:rsidRDefault="00A2194F" w:rsidP="004B0CCB">
      <w:pPr>
        <w:numPr>
          <w:ilvl w:val="0"/>
          <w:numId w:val="31"/>
        </w:numPr>
        <w:spacing w:before="120" w:after="120"/>
        <w:ind w:left="391" w:hanging="391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Ubezpieczenie kosztów udzielenia natychmiastowej pomocy Assistance (ASS)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Warunki ubezpieczenia ASS są zgodne z Ogólnymi Warunkami Ubezpieczenia ASS Wykonawcy.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Ubezpieczenie ASS dołączone jest bezskładkowo do ubezpieczenia obowiązkowego OC lub AC.</w:t>
      </w:r>
    </w:p>
    <w:p w:rsidR="00A2194F" w:rsidRDefault="00A2194F" w:rsidP="004B0CCB">
      <w:pPr>
        <w:numPr>
          <w:ilvl w:val="0"/>
          <w:numId w:val="31"/>
        </w:numPr>
        <w:spacing w:before="120" w:after="120"/>
        <w:ind w:left="391" w:hanging="391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b/>
          <w:bCs/>
          <w:spacing w:val="-4"/>
          <w:sz w:val="22"/>
          <w:szCs w:val="22"/>
        </w:rPr>
        <w:t>Klauzule obligatoryjne:</w:t>
      </w:r>
    </w:p>
    <w:p w:rsidR="00A2194F" w:rsidRDefault="00A2194F" w:rsidP="004B0CCB">
      <w:pPr>
        <w:numPr>
          <w:ilvl w:val="1"/>
          <w:numId w:val="31"/>
        </w:numPr>
        <w:ind w:left="391" w:hanging="391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Klauzula przewłaszczeniowa (przewłaszczenia na zabezpieczenie):</w:t>
      </w:r>
      <w:r>
        <w:rPr>
          <w:rFonts w:ascii="Calibri" w:hAnsi="Calibri" w:cs="Calibri"/>
          <w:sz w:val="22"/>
          <w:szCs w:val="22"/>
        </w:rPr>
        <w:t xml:space="preserve"> W nawiązaniu do art. 823 Kodeksu Cywilnego w przypadku przejścia własności ubezpieczonego mienia na bank lub zakład ubezpieczeń ochrona ubezpieczeniowa nie wygasa.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</w:p>
    <w:p w:rsidR="00A2194F" w:rsidRDefault="00A2194F" w:rsidP="004B0CCB">
      <w:pPr>
        <w:ind w:left="391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A2194F" w:rsidRDefault="00A2194F" w:rsidP="004B0CCB">
      <w:pPr>
        <w:numPr>
          <w:ilvl w:val="1"/>
          <w:numId w:val="31"/>
        </w:numPr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Klauzula czasu zgłoszenia pojazdu do ubezpieczenia</w:t>
      </w:r>
      <w:r>
        <w:rPr>
          <w:rFonts w:ascii="Calibri" w:hAnsi="Calibri" w:cs="Calibri"/>
          <w:sz w:val="22"/>
          <w:szCs w:val="22"/>
        </w:rPr>
        <w:t>: Pojazdy nabywane w czasie trwania umowy będą objęte ochroną od dnia rejestracji pod warunkiem, że ubezpieczający przekaże szczegółowe dane ubezpieczanego pojazdu w terminie nie dłuższym niż 3 dni robocze od dnia rejestracji.</w:t>
      </w:r>
    </w:p>
    <w:p w:rsidR="00A2194F" w:rsidRDefault="00A2194F" w:rsidP="004B0CCB">
      <w:pPr>
        <w:numPr>
          <w:ilvl w:val="1"/>
          <w:numId w:val="31"/>
        </w:numPr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Klauzula akceptacji istniejących zabezpieczeń – </w:t>
      </w:r>
      <w:r>
        <w:rPr>
          <w:rFonts w:ascii="Calibri" w:hAnsi="Calibri" w:cs="Calibri"/>
          <w:sz w:val="22"/>
          <w:szCs w:val="22"/>
        </w:rPr>
        <w:t xml:space="preserve"> Wykonawca przyjmuje zabezpieczenia pojazdów posiadających aktualnie ubezpieczenie AC za wystarczające do objęcia ich ochroną ubezpieczeniową.</w:t>
      </w:r>
    </w:p>
    <w:p w:rsidR="00A2194F" w:rsidRPr="001520BF" w:rsidRDefault="00A2194F" w:rsidP="0077445C">
      <w:pPr>
        <w:pStyle w:val="BodyTextIndent"/>
        <w:ind w:left="360" w:hanging="360"/>
        <w:rPr>
          <w:rFonts w:ascii="Arial Narrow" w:hAnsi="Arial Narrow" w:cs="Arial Narrow"/>
          <w:b/>
          <w:bCs/>
          <w:sz w:val="24"/>
          <w:szCs w:val="24"/>
        </w:rPr>
      </w:pPr>
    </w:p>
    <w:p w:rsidR="00A2194F" w:rsidRPr="001520BF" w:rsidRDefault="00A2194F" w:rsidP="0077445C">
      <w:pPr>
        <w:rPr>
          <w:rFonts w:ascii="Arial Narrow" w:hAnsi="Arial Narrow" w:cs="Arial Narrow"/>
          <w:b/>
          <w:bCs/>
        </w:rPr>
      </w:pPr>
    </w:p>
    <w:p w:rsidR="00A2194F" w:rsidRPr="001520BF" w:rsidRDefault="00A2194F" w:rsidP="00743212">
      <w:pPr>
        <w:rPr>
          <w:rFonts w:ascii="Arial Narrow" w:hAnsi="Arial Narrow" w:cs="Arial Narrow"/>
          <w:b/>
          <w:bCs/>
          <w:u w:val="single"/>
        </w:rPr>
      </w:pPr>
      <w:r w:rsidRPr="001520BF">
        <w:rPr>
          <w:rFonts w:ascii="Arial Narrow" w:hAnsi="Arial Narrow" w:cs="Arial Narrow"/>
          <w:b/>
          <w:bCs/>
          <w:u w:val="single"/>
        </w:rPr>
        <w:t>Ubezpieczenie Pojazdów WSzZ w Elblągu w zakresie: AC, OC i NNW kierowców i pasażerów</w:t>
      </w:r>
    </w:p>
    <w:p w:rsidR="00A2194F" w:rsidRPr="001520BF" w:rsidRDefault="00A2194F" w:rsidP="00743212">
      <w:pPr>
        <w:rPr>
          <w:rFonts w:ascii="Arial Narrow" w:hAnsi="Arial Narrow" w:cs="Arial Narrow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34"/>
        <w:gridCol w:w="2922"/>
        <w:gridCol w:w="1513"/>
        <w:gridCol w:w="1741"/>
      </w:tblGrid>
      <w:tr w:rsidR="00A2194F" w:rsidRPr="002C290E">
        <w:trPr>
          <w:trHeight w:val="1082"/>
        </w:trPr>
        <w:tc>
          <w:tcPr>
            <w:tcW w:w="3034" w:type="dxa"/>
          </w:tcPr>
          <w:p w:rsidR="00A2194F" w:rsidRPr="002C290E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Przedmiot ubezpieczenia:</w:t>
            </w:r>
          </w:p>
        </w:tc>
        <w:tc>
          <w:tcPr>
            <w:tcW w:w="2922" w:type="dxa"/>
          </w:tcPr>
          <w:p w:rsidR="00A2194F" w:rsidRPr="002C290E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 xml:space="preserve">Pojazdy zgodnie z </w:t>
            </w:r>
          </w:p>
          <w:p w:rsidR="00A2194F" w:rsidRPr="002C290E" w:rsidRDefault="00A2194F" w:rsidP="00D010A8">
            <w:pPr>
              <w:pStyle w:val="BodyTextIndent"/>
              <w:spacing w:before="40" w:after="4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Załącznikiem nr 3</w:t>
            </w:r>
          </w:p>
        </w:tc>
        <w:tc>
          <w:tcPr>
            <w:tcW w:w="1513" w:type="dxa"/>
          </w:tcPr>
          <w:p w:rsidR="00A2194F" w:rsidRPr="002C290E" w:rsidRDefault="00A2194F" w:rsidP="00B9578C">
            <w:pPr>
              <w:pStyle w:val="BodyTextIndent"/>
              <w:spacing w:before="40" w:after="4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SKŁADKA</w:t>
            </w:r>
          </w:p>
        </w:tc>
        <w:tc>
          <w:tcPr>
            <w:tcW w:w="1741" w:type="dxa"/>
          </w:tcPr>
          <w:p w:rsidR="00A2194F" w:rsidRPr="002C290E" w:rsidRDefault="00A2194F" w:rsidP="00B9578C">
            <w:pPr>
              <w:pStyle w:val="BodyTextIndent"/>
              <w:spacing w:before="40" w:after="4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FRANSZYZY</w:t>
            </w:r>
          </w:p>
          <w:p w:rsidR="00A2194F" w:rsidRPr="002C290E" w:rsidRDefault="00A2194F" w:rsidP="00B9578C">
            <w:pPr>
              <w:pStyle w:val="BodyTextIndent"/>
              <w:spacing w:before="40" w:after="4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I – INTEGRALNA</w:t>
            </w:r>
          </w:p>
          <w:p w:rsidR="00A2194F" w:rsidRPr="002C290E" w:rsidRDefault="00A2194F" w:rsidP="00B9578C">
            <w:pPr>
              <w:pStyle w:val="BodyTextIndent"/>
              <w:spacing w:before="40" w:after="4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R-REDUKCYJNA</w:t>
            </w:r>
          </w:p>
        </w:tc>
      </w:tr>
      <w:tr w:rsidR="00A2194F" w:rsidRPr="002C290E">
        <w:trPr>
          <w:gridAfter w:val="2"/>
          <w:wAfter w:w="3254" w:type="dxa"/>
        </w:trPr>
        <w:tc>
          <w:tcPr>
            <w:tcW w:w="3034" w:type="dxa"/>
          </w:tcPr>
          <w:p w:rsidR="00A2194F" w:rsidRPr="002C290E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Zakres ubezpieczenia:</w:t>
            </w:r>
          </w:p>
        </w:tc>
        <w:tc>
          <w:tcPr>
            <w:tcW w:w="2922" w:type="dxa"/>
          </w:tcPr>
          <w:p w:rsidR="00A2194F" w:rsidRPr="00091961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091961">
              <w:rPr>
                <w:rFonts w:ascii="Arial Narrow" w:hAnsi="Arial Narrow" w:cs="Arial Narrow"/>
                <w:sz w:val="24"/>
                <w:szCs w:val="24"/>
              </w:rPr>
              <w:t xml:space="preserve">AC – pełny – system naprawy – </w:t>
            </w:r>
            <w:r w:rsidRPr="0009196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serwis</w:t>
            </w:r>
            <w:r w:rsidRPr="00091961">
              <w:rPr>
                <w:rFonts w:ascii="Arial Narrow" w:hAnsi="Arial Narrow" w:cs="Arial Narrow"/>
                <w:sz w:val="24"/>
                <w:szCs w:val="24"/>
              </w:rPr>
              <w:t xml:space="preserve">, </w:t>
            </w:r>
          </w:p>
          <w:p w:rsidR="00A2194F" w:rsidRPr="00091961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091961">
              <w:rPr>
                <w:rFonts w:ascii="Arial Narrow" w:hAnsi="Arial Narrow" w:cs="Arial Narrow"/>
                <w:sz w:val="24"/>
                <w:szCs w:val="24"/>
              </w:rPr>
              <w:t xml:space="preserve">zakres terytorialny – </w:t>
            </w:r>
            <w:r w:rsidRPr="0009196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Polska</w:t>
            </w:r>
            <w:r w:rsidRPr="00091961">
              <w:rPr>
                <w:rFonts w:ascii="Arial Narrow" w:hAnsi="Arial Narrow" w:cs="Arial Narrow"/>
                <w:sz w:val="24"/>
                <w:szCs w:val="24"/>
              </w:rPr>
              <w:t xml:space="preserve">, </w:t>
            </w:r>
          </w:p>
          <w:p w:rsidR="00A2194F" w:rsidRPr="00091961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091961">
              <w:rPr>
                <w:rFonts w:ascii="Arial Narrow" w:hAnsi="Arial Narrow" w:cs="Arial Narrow"/>
                <w:sz w:val="24"/>
                <w:szCs w:val="24"/>
              </w:rPr>
              <w:t xml:space="preserve">udziały własne i franszyzy oraz amortyzacja-  </w:t>
            </w:r>
            <w:r w:rsidRPr="0009196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wykupione, </w:t>
            </w:r>
            <w:r w:rsidRPr="00091961">
              <w:rPr>
                <w:rFonts w:ascii="Arial Narrow" w:hAnsi="Arial Narrow" w:cs="Arial Narrow"/>
                <w:sz w:val="24"/>
                <w:szCs w:val="24"/>
              </w:rPr>
              <w:t xml:space="preserve">franszyza integralna 500,00 zł </w:t>
            </w:r>
          </w:p>
          <w:p w:rsidR="00A2194F" w:rsidRPr="00091961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091961">
              <w:rPr>
                <w:rFonts w:ascii="Arial Narrow" w:hAnsi="Arial Narrow" w:cs="Arial Narrow"/>
                <w:sz w:val="24"/>
                <w:szCs w:val="24"/>
              </w:rPr>
              <w:t>OC posiadaczy pojazdów , NNW</w:t>
            </w:r>
          </w:p>
        </w:tc>
      </w:tr>
      <w:tr w:rsidR="00A2194F" w:rsidRPr="002C290E">
        <w:tc>
          <w:tcPr>
            <w:tcW w:w="3034" w:type="dxa"/>
          </w:tcPr>
          <w:p w:rsidR="00A2194F" w:rsidRPr="002C290E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AC</w:t>
            </w:r>
          </w:p>
        </w:tc>
        <w:tc>
          <w:tcPr>
            <w:tcW w:w="2922" w:type="dxa"/>
          </w:tcPr>
          <w:p w:rsidR="00A2194F" w:rsidRPr="00091961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  <w:r w:rsidRPr="00091961">
              <w:rPr>
                <w:rFonts w:ascii="Arial Narrow" w:hAnsi="Arial Narrow" w:cs="Arial Narrow"/>
                <w:sz w:val="24"/>
                <w:szCs w:val="24"/>
              </w:rPr>
              <w:t xml:space="preserve">Rynkowa z VAT </w:t>
            </w:r>
          </w:p>
        </w:tc>
        <w:tc>
          <w:tcPr>
            <w:tcW w:w="1513" w:type="dxa"/>
          </w:tcPr>
          <w:p w:rsidR="00A2194F" w:rsidRPr="002C290E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1741" w:type="dxa"/>
          </w:tcPr>
          <w:p w:rsidR="00A2194F" w:rsidRPr="002C290E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A2194F" w:rsidRPr="002C290E">
        <w:tc>
          <w:tcPr>
            <w:tcW w:w="3034" w:type="dxa"/>
          </w:tcPr>
          <w:p w:rsidR="00A2194F" w:rsidRPr="002C290E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OC</w:t>
            </w:r>
          </w:p>
        </w:tc>
        <w:tc>
          <w:tcPr>
            <w:tcW w:w="2922" w:type="dxa"/>
          </w:tcPr>
          <w:p w:rsidR="00A2194F" w:rsidRPr="00091961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  <w:r w:rsidRPr="0009196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5 000 000 EURO</w:t>
            </w:r>
            <w:r w:rsidRPr="00091961">
              <w:rPr>
                <w:rFonts w:ascii="Arial Narrow" w:hAnsi="Arial Narrow" w:cs="Arial Narrow"/>
                <w:sz w:val="24"/>
                <w:szCs w:val="24"/>
              </w:rPr>
              <w:t xml:space="preserve"> w przypadku  szkód na osobie w odniesieniu do jednego zdarzenia, którego skutki są objęte ubezpieczeniem bez względu na liczbę poszkodowanych</w:t>
            </w:r>
          </w:p>
          <w:p w:rsidR="00A2194F" w:rsidRPr="00091961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  <w:r w:rsidRPr="0009196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1 000 000 EURO</w:t>
            </w:r>
            <w:r w:rsidRPr="00091961">
              <w:rPr>
                <w:rFonts w:ascii="Arial Narrow" w:hAnsi="Arial Narrow" w:cs="Arial Narrow"/>
                <w:sz w:val="24"/>
                <w:szCs w:val="24"/>
              </w:rPr>
              <w:t xml:space="preserve"> w przypadku  szkód w mieniu w odniesieniu do jednego zdarzenia, którego skutki są objęte ubezpieczeniem bez względu na liczbę poszkodowanych</w:t>
            </w:r>
          </w:p>
        </w:tc>
        <w:tc>
          <w:tcPr>
            <w:tcW w:w="1513" w:type="dxa"/>
          </w:tcPr>
          <w:p w:rsidR="00A2194F" w:rsidRPr="002C290E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1741" w:type="dxa"/>
          </w:tcPr>
          <w:p w:rsidR="00A2194F" w:rsidRPr="002C290E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A2194F" w:rsidRPr="002C290E">
        <w:tc>
          <w:tcPr>
            <w:tcW w:w="3034" w:type="dxa"/>
          </w:tcPr>
          <w:p w:rsidR="00A2194F" w:rsidRPr="002C290E" w:rsidRDefault="00A2194F" w:rsidP="00B9578C">
            <w:pPr>
              <w:pStyle w:val="BodyTextIndent"/>
              <w:spacing w:before="40" w:after="40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NNW</w:t>
            </w:r>
          </w:p>
        </w:tc>
        <w:tc>
          <w:tcPr>
            <w:tcW w:w="2922" w:type="dxa"/>
          </w:tcPr>
          <w:p w:rsidR="00A2194F" w:rsidRPr="002C290E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  <w:r w:rsidRPr="002C290E">
              <w:rPr>
                <w:rFonts w:ascii="Arial Narrow" w:hAnsi="Arial Narrow" w:cs="Arial Narrow"/>
                <w:sz w:val="24"/>
                <w:szCs w:val="24"/>
              </w:rPr>
              <w:t>10 000 zł</w:t>
            </w:r>
          </w:p>
        </w:tc>
        <w:tc>
          <w:tcPr>
            <w:tcW w:w="1513" w:type="dxa"/>
          </w:tcPr>
          <w:p w:rsidR="00A2194F" w:rsidRPr="002C290E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1741" w:type="dxa"/>
          </w:tcPr>
          <w:p w:rsidR="00A2194F" w:rsidRPr="002C290E" w:rsidRDefault="00A2194F" w:rsidP="00B9578C">
            <w:pPr>
              <w:pStyle w:val="BodyTextIndent"/>
              <w:spacing w:before="40" w:after="40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</w:tbl>
    <w:p w:rsidR="00A2194F" w:rsidRDefault="00A2194F" w:rsidP="0077445C">
      <w:pPr>
        <w:rPr>
          <w:rFonts w:ascii="Arial Narrow" w:hAnsi="Arial Narrow" w:cs="Arial Narrow"/>
          <w:b/>
          <w:bCs/>
          <w:i/>
          <w:iCs/>
          <w:sz w:val="20"/>
          <w:szCs w:val="20"/>
        </w:rPr>
      </w:pPr>
    </w:p>
    <w:p w:rsidR="00A2194F" w:rsidRPr="00B95885" w:rsidRDefault="00A2194F" w:rsidP="0077445C">
      <w:pPr>
        <w:rPr>
          <w:rFonts w:ascii="Arial Narrow" w:hAnsi="Arial Narrow" w:cs="Arial Narrow"/>
          <w:b/>
          <w:bCs/>
          <w:i/>
          <w:iCs/>
          <w:sz w:val="20"/>
          <w:szCs w:val="20"/>
        </w:rPr>
      </w:pPr>
      <w:r w:rsidRPr="00B95885">
        <w:rPr>
          <w:rFonts w:ascii="Arial Narrow" w:hAnsi="Arial Narrow" w:cs="Arial Narrow"/>
          <w:b/>
          <w:bCs/>
          <w:i/>
          <w:iCs/>
          <w:sz w:val="20"/>
          <w:szCs w:val="20"/>
        </w:rPr>
        <w:t>Prosimy o wycenę i korektę wartości rynkowej przez Oferenta oraz podanie wskaźników.</w:t>
      </w:r>
    </w:p>
    <w:p w:rsidR="00A2194F" w:rsidRDefault="00A2194F" w:rsidP="0077445C">
      <w:pPr>
        <w:rPr>
          <w:rFonts w:ascii="Arial Narrow" w:hAnsi="Arial Narrow" w:cs="Arial Narrow"/>
          <w:b/>
          <w:bCs/>
          <w:i/>
          <w:iCs/>
          <w:sz w:val="20"/>
          <w:szCs w:val="20"/>
        </w:rPr>
      </w:pPr>
    </w:p>
    <w:p w:rsidR="00A2194F" w:rsidRPr="00B95885" w:rsidRDefault="00A2194F" w:rsidP="0077445C">
      <w:pPr>
        <w:rPr>
          <w:rFonts w:ascii="Arial Narrow" w:hAnsi="Arial Narrow" w:cs="Arial Narrow"/>
          <w:b/>
          <w:bCs/>
          <w:i/>
          <w:iCs/>
          <w:sz w:val="20"/>
          <w:szCs w:val="20"/>
        </w:rPr>
      </w:pPr>
      <w:r w:rsidRPr="00B95885">
        <w:rPr>
          <w:rFonts w:ascii="Arial Narrow" w:hAnsi="Arial Narrow" w:cs="Arial Narrow"/>
          <w:b/>
          <w:bCs/>
          <w:i/>
          <w:iCs/>
          <w:sz w:val="20"/>
          <w:szCs w:val="20"/>
        </w:rPr>
        <w:t>Uwaga: Ubezpieczający zastrzega sobie praw</w:t>
      </w:r>
      <w:r>
        <w:rPr>
          <w:rFonts w:ascii="Arial Narrow" w:hAnsi="Arial Narrow" w:cs="Arial Narrow"/>
          <w:b/>
          <w:bCs/>
          <w:i/>
          <w:iCs/>
          <w:sz w:val="20"/>
          <w:szCs w:val="20"/>
        </w:rPr>
        <w:t xml:space="preserve">o do zmiany sum ubezpieczenia </w:t>
      </w:r>
      <w:r w:rsidRPr="00B95885">
        <w:rPr>
          <w:rFonts w:ascii="Arial Narrow" w:hAnsi="Arial Narrow" w:cs="Arial Narrow"/>
          <w:b/>
          <w:bCs/>
          <w:i/>
          <w:iCs/>
          <w:sz w:val="20"/>
          <w:szCs w:val="20"/>
        </w:rPr>
        <w:t xml:space="preserve">co nie może wpłynąć na zmianę oferowanych wskaźników składek. </w:t>
      </w:r>
    </w:p>
    <w:p w:rsidR="00A2194F" w:rsidRDefault="00A2194F" w:rsidP="0077445C">
      <w:pPr>
        <w:rPr>
          <w:rFonts w:ascii="Arial Narrow" w:hAnsi="Arial Narrow" w:cs="Arial Narrow"/>
          <w:b/>
          <w:bCs/>
        </w:rPr>
      </w:pPr>
    </w:p>
    <w:p w:rsidR="00A2194F" w:rsidRPr="00192AE4" w:rsidRDefault="00A2194F" w:rsidP="0077445C">
      <w:pPr>
        <w:rPr>
          <w:rFonts w:ascii="Arial Narrow" w:hAnsi="Arial Narrow" w:cs="Arial Narrow"/>
          <w:b/>
          <w:bCs/>
        </w:rPr>
      </w:pPr>
      <w:r w:rsidRPr="00192AE4">
        <w:rPr>
          <w:rFonts w:ascii="Arial Narrow" w:hAnsi="Arial Narrow" w:cs="Arial Narrow"/>
          <w:b/>
          <w:bCs/>
        </w:rPr>
        <w:t>SZKODOWOŚĆ za 3 lata:</w:t>
      </w:r>
    </w:p>
    <w:p w:rsidR="00A2194F" w:rsidRDefault="00A2194F" w:rsidP="00A24DC7">
      <w:pPr>
        <w:rPr>
          <w:rFonts w:ascii="Arial Narrow" w:hAnsi="Arial Narrow" w:cs="Arial Narrow"/>
        </w:rPr>
      </w:pPr>
    </w:p>
    <w:p w:rsidR="00A2194F" w:rsidRPr="00192AE4" w:rsidRDefault="00A2194F" w:rsidP="00A24DC7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Załącznik nr 4  do zaproszenia. </w:t>
      </w:r>
    </w:p>
    <w:sectPr w:rsidR="00A2194F" w:rsidRPr="00192AE4" w:rsidSect="00026897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94F" w:rsidRDefault="00A2194F">
      <w:r>
        <w:separator/>
      </w:r>
    </w:p>
  </w:endnote>
  <w:endnote w:type="continuationSeparator" w:id="1">
    <w:p w:rsidR="00A2194F" w:rsidRDefault="00A21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94F" w:rsidRDefault="00A2194F" w:rsidP="00B9578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2194F" w:rsidRPr="00743212" w:rsidRDefault="00A2194F" w:rsidP="007833C3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94F" w:rsidRDefault="00A2194F">
      <w:r>
        <w:separator/>
      </w:r>
    </w:p>
  </w:footnote>
  <w:footnote w:type="continuationSeparator" w:id="1">
    <w:p w:rsidR="00A2194F" w:rsidRDefault="00A219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94F" w:rsidRPr="00DB3106" w:rsidRDefault="00A2194F">
    <w:pPr>
      <w:pStyle w:val="Header"/>
      <w:rPr>
        <w:rFonts w:ascii="Arial Black" w:hAnsi="Arial Black" w:cs="Arial Black"/>
        <w:i/>
        <w:iCs/>
        <w:sz w:val="22"/>
        <w:szCs w:val="22"/>
      </w:rPr>
    </w:pPr>
    <w:r w:rsidRPr="00DB3106">
      <w:rPr>
        <w:rFonts w:ascii="Arial Black" w:hAnsi="Arial Black" w:cs="Arial Black"/>
        <w:i/>
        <w:iCs/>
        <w:sz w:val="22"/>
        <w:szCs w:val="22"/>
      </w:rPr>
      <w:t>Załącznik Nr 2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22576EE"/>
    <w:multiLevelType w:val="hybridMultilevel"/>
    <w:tmpl w:val="FF3AD730"/>
    <w:lvl w:ilvl="0" w:tplc="22CC4C60">
      <w:start w:val="19"/>
      <w:numFmt w:val="decimal"/>
      <w:lvlText w:val="%1."/>
      <w:lvlJc w:val="left"/>
      <w:pPr>
        <w:tabs>
          <w:tab w:val="num" w:pos="510"/>
        </w:tabs>
        <w:ind w:left="510" w:hanging="34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">
    <w:nsid w:val="05E55014"/>
    <w:multiLevelType w:val="hybridMultilevel"/>
    <w:tmpl w:val="7B4C86E2"/>
    <w:lvl w:ilvl="0" w:tplc="2A602B6E">
      <w:start w:val="1"/>
      <w:numFmt w:val="decimal"/>
      <w:lvlText w:val="%1."/>
      <w:lvlJc w:val="left"/>
      <w:pPr>
        <w:tabs>
          <w:tab w:val="num" w:pos="899"/>
        </w:tabs>
        <w:ind w:left="899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3">
    <w:nsid w:val="06A10F81"/>
    <w:multiLevelType w:val="multilevel"/>
    <w:tmpl w:val="0415001D"/>
    <w:styleLink w:val="Styl1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omic Sans MS" w:hAnsi="Comic Sans MS" w:cs="Comic Sans MS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7A33BA8"/>
    <w:multiLevelType w:val="singleLevel"/>
    <w:tmpl w:val="8A86B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23248DA"/>
    <w:multiLevelType w:val="singleLevel"/>
    <w:tmpl w:val="088E9810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12975167"/>
    <w:multiLevelType w:val="multilevel"/>
    <w:tmpl w:val="49D013E0"/>
    <w:lvl w:ilvl="0">
      <w:start w:val="1"/>
      <w:numFmt w:val="none"/>
      <w:pStyle w:val="Heading1"/>
      <w:lvlText w:val="3.1."/>
      <w:lvlJc w:val="left"/>
      <w:pPr>
        <w:tabs>
          <w:tab w:val="num" w:pos="432"/>
        </w:tabs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3846"/>
        </w:tabs>
        <w:ind w:left="384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9197F70"/>
    <w:multiLevelType w:val="hybridMultilevel"/>
    <w:tmpl w:val="92764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23878"/>
    <w:multiLevelType w:val="hybridMultilevel"/>
    <w:tmpl w:val="66C40362"/>
    <w:lvl w:ilvl="0" w:tplc="19B244AA">
      <w:start w:val="55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149F5"/>
    <w:multiLevelType w:val="hybridMultilevel"/>
    <w:tmpl w:val="89A2B6FE"/>
    <w:lvl w:ilvl="0" w:tplc="74C2C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D637AA"/>
    <w:multiLevelType w:val="hybridMultilevel"/>
    <w:tmpl w:val="5AFE4548"/>
    <w:lvl w:ilvl="0" w:tplc="96D62DB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B370B66"/>
    <w:multiLevelType w:val="hybridMultilevel"/>
    <w:tmpl w:val="F7FE584E"/>
    <w:lvl w:ilvl="0" w:tplc="9340A09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E2E1B"/>
    <w:multiLevelType w:val="multilevel"/>
    <w:tmpl w:val="02F6D3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F928BF"/>
    <w:multiLevelType w:val="hybridMultilevel"/>
    <w:tmpl w:val="E438DA46"/>
    <w:lvl w:ilvl="0" w:tplc="0F4648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DB17F5"/>
    <w:multiLevelType w:val="multilevel"/>
    <w:tmpl w:val="7B4C86E2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9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5">
    <w:nsid w:val="3A190B92"/>
    <w:multiLevelType w:val="hybridMultilevel"/>
    <w:tmpl w:val="DE0AE2BA"/>
    <w:lvl w:ilvl="0" w:tplc="AAB08BC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54E95"/>
    <w:multiLevelType w:val="hybridMultilevel"/>
    <w:tmpl w:val="9FDE7BA0"/>
    <w:lvl w:ilvl="0" w:tplc="2954DC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/>
        <w:bCs/>
        <w:i w:val="0"/>
        <w:iCs w:val="0"/>
        <w:color w:val="auto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F519BA"/>
    <w:multiLevelType w:val="hybridMultilevel"/>
    <w:tmpl w:val="491052B8"/>
    <w:lvl w:ilvl="0" w:tplc="9340A09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E90DE0"/>
    <w:multiLevelType w:val="multilevel"/>
    <w:tmpl w:val="A2FABB6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ascii="Calibri" w:hAnsi="Calibri" w:cs="Calibri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bCs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72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 Narrow" w:hAnsi="Arial Narrow" w:cs="Arial Narrow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 Narrow" w:hAnsi="Arial Narrow" w:cs="Arial Narrow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 Narrow" w:hAnsi="Arial Narrow" w:cs="Arial Narrow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 Narrow" w:hAnsi="Arial Narrow" w:cs="Arial Narrow" w:hint="default"/>
        <w:sz w:val="24"/>
        <w:szCs w:val="24"/>
      </w:rPr>
    </w:lvl>
  </w:abstractNum>
  <w:abstractNum w:abstractNumId="19">
    <w:nsid w:val="481A49A2"/>
    <w:multiLevelType w:val="multilevel"/>
    <w:tmpl w:val="9B2A41BC"/>
    <w:lvl w:ilvl="0">
      <w:start w:val="20"/>
      <w:numFmt w:val="decimal"/>
      <w:lvlText w:val="%1."/>
      <w:lvlJc w:val="left"/>
      <w:pPr>
        <w:tabs>
          <w:tab w:val="num" w:pos="896"/>
        </w:tabs>
        <w:ind w:left="896" w:hanging="397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0">
    <w:nsid w:val="4BF4277C"/>
    <w:multiLevelType w:val="multilevel"/>
    <w:tmpl w:val="400E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F04D2A"/>
    <w:multiLevelType w:val="hybridMultilevel"/>
    <w:tmpl w:val="2686568E"/>
    <w:lvl w:ilvl="0" w:tplc="0EB82484">
      <w:start w:val="1"/>
      <w:numFmt w:val="decimal"/>
      <w:lvlText w:val="%1)"/>
      <w:lvlJc w:val="left"/>
      <w:pPr>
        <w:tabs>
          <w:tab w:val="num" w:pos="896"/>
        </w:tabs>
        <w:ind w:left="896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2">
    <w:nsid w:val="58F44BD5"/>
    <w:multiLevelType w:val="hybridMultilevel"/>
    <w:tmpl w:val="00CA98CA"/>
    <w:name w:val="WW8Num11"/>
    <w:lvl w:ilvl="0" w:tplc="0F4648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F33292"/>
    <w:multiLevelType w:val="singleLevel"/>
    <w:tmpl w:val="8050E27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4">
    <w:nsid w:val="5D7227A3"/>
    <w:multiLevelType w:val="multilevel"/>
    <w:tmpl w:val="02F6D3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E27CAA"/>
    <w:multiLevelType w:val="hybridMultilevel"/>
    <w:tmpl w:val="733E9B28"/>
    <w:lvl w:ilvl="0" w:tplc="2C04122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bCs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EA5CD0"/>
    <w:multiLevelType w:val="multilevel"/>
    <w:tmpl w:val="02F6D3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0B5127"/>
    <w:multiLevelType w:val="multilevel"/>
    <w:tmpl w:val="AF26C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EEE3DE0"/>
    <w:multiLevelType w:val="hybridMultilevel"/>
    <w:tmpl w:val="33165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B22DAD"/>
    <w:multiLevelType w:val="singleLevel"/>
    <w:tmpl w:val="FE443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6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3"/>
    <w:lvlOverride w:ilvl="0">
      <w:startOverride w:val="1"/>
    </w:lvlOverride>
  </w:num>
  <w:num w:numId="8">
    <w:abstractNumId w:val="10"/>
  </w:num>
  <w:num w:numId="9">
    <w:abstractNumId w:val="27"/>
  </w:num>
  <w:num w:numId="10">
    <w:abstractNumId w:val="11"/>
  </w:num>
  <w:num w:numId="11">
    <w:abstractNumId w:val="22"/>
  </w:num>
  <w:num w:numId="12">
    <w:abstractNumId w:val="13"/>
  </w:num>
  <w:num w:numId="13">
    <w:abstractNumId w:val="12"/>
  </w:num>
  <w:num w:numId="14">
    <w:abstractNumId w:val="16"/>
  </w:num>
  <w:num w:numId="15">
    <w:abstractNumId w:val="2"/>
  </w:num>
  <w:num w:numId="16">
    <w:abstractNumId w:val="26"/>
  </w:num>
  <w:num w:numId="17">
    <w:abstractNumId w:val="14"/>
  </w:num>
  <w:num w:numId="18">
    <w:abstractNumId w:val="21"/>
  </w:num>
  <w:num w:numId="19">
    <w:abstractNumId w:val="1"/>
  </w:num>
  <w:num w:numId="20">
    <w:abstractNumId w:val="24"/>
  </w:num>
  <w:num w:numId="21">
    <w:abstractNumId w:val="19"/>
  </w:num>
  <w:num w:numId="22">
    <w:abstractNumId w:val="20"/>
  </w:num>
  <w:num w:numId="23">
    <w:abstractNumId w:val="4"/>
    <w:lvlOverride w:ilvl="0">
      <w:startOverride w:val="1"/>
    </w:lvlOverride>
  </w:num>
  <w:num w:numId="24">
    <w:abstractNumId w:val="9"/>
  </w:num>
  <w:num w:numId="25">
    <w:abstractNumId w:val="25"/>
  </w:num>
  <w:num w:numId="26">
    <w:abstractNumId w:val="8"/>
  </w:num>
  <w:num w:numId="27">
    <w:abstractNumId w:val="29"/>
  </w:num>
  <w:num w:numId="28">
    <w:abstractNumId w:val="0"/>
  </w:num>
  <w:num w:numId="29">
    <w:abstractNumId w:val="7"/>
  </w:num>
  <w:num w:numId="30">
    <w:abstractNumId w:val="28"/>
  </w:num>
  <w:num w:numId="31">
    <w:abstractNumId w:val="18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45C"/>
    <w:rsid w:val="00022413"/>
    <w:rsid w:val="00026897"/>
    <w:rsid w:val="0003094A"/>
    <w:rsid w:val="00035D0E"/>
    <w:rsid w:val="0006235A"/>
    <w:rsid w:val="000665CF"/>
    <w:rsid w:val="00067367"/>
    <w:rsid w:val="00085537"/>
    <w:rsid w:val="00091961"/>
    <w:rsid w:val="00096154"/>
    <w:rsid w:val="000B2F48"/>
    <w:rsid w:val="000B7BAE"/>
    <w:rsid w:val="000D3820"/>
    <w:rsid w:val="000D4495"/>
    <w:rsid w:val="000F1395"/>
    <w:rsid w:val="000F5DA9"/>
    <w:rsid w:val="00112116"/>
    <w:rsid w:val="00116891"/>
    <w:rsid w:val="001465EE"/>
    <w:rsid w:val="00150F1B"/>
    <w:rsid w:val="001520BF"/>
    <w:rsid w:val="001564E9"/>
    <w:rsid w:val="0015718B"/>
    <w:rsid w:val="00163DBD"/>
    <w:rsid w:val="00166C79"/>
    <w:rsid w:val="001711C1"/>
    <w:rsid w:val="00171921"/>
    <w:rsid w:val="00185DEF"/>
    <w:rsid w:val="0019121F"/>
    <w:rsid w:val="00191598"/>
    <w:rsid w:val="001929CC"/>
    <w:rsid w:val="00192AE4"/>
    <w:rsid w:val="001938C8"/>
    <w:rsid w:val="00196F3E"/>
    <w:rsid w:val="001A37C8"/>
    <w:rsid w:val="001E76B0"/>
    <w:rsid w:val="001F0065"/>
    <w:rsid w:val="001F54CE"/>
    <w:rsid w:val="001F5F6F"/>
    <w:rsid w:val="00204341"/>
    <w:rsid w:val="00214EB8"/>
    <w:rsid w:val="0022532F"/>
    <w:rsid w:val="0022559B"/>
    <w:rsid w:val="00226734"/>
    <w:rsid w:val="00226A31"/>
    <w:rsid w:val="00227D5A"/>
    <w:rsid w:val="00240052"/>
    <w:rsid w:val="002451FB"/>
    <w:rsid w:val="00251A0A"/>
    <w:rsid w:val="00255FAD"/>
    <w:rsid w:val="002578A6"/>
    <w:rsid w:val="002601FA"/>
    <w:rsid w:val="00286E2B"/>
    <w:rsid w:val="002C290E"/>
    <w:rsid w:val="002D435F"/>
    <w:rsid w:val="002E3F81"/>
    <w:rsid w:val="002E7ACA"/>
    <w:rsid w:val="00324799"/>
    <w:rsid w:val="00345F10"/>
    <w:rsid w:val="003554FD"/>
    <w:rsid w:val="00355B95"/>
    <w:rsid w:val="00364E9D"/>
    <w:rsid w:val="00373A01"/>
    <w:rsid w:val="00376971"/>
    <w:rsid w:val="003776BC"/>
    <w:rsid w:val="003814D0"/>
    <w:rsid w:val="003836F7"/>
    <w:rsid w:val="00383E62"/>
    <w:rsid w:val="00384426"/>
    <w:rsid w:val="00385B66"/>
    <w:rsid w:val="00386538"/>
    <w:rsid w:val="00386667"/>
    <w:rsid w:val="00390FBE"/>
    <w:rsid w:val="003A1F50"/>
    <w:rsid w:val="003B5AFC"/>
    <w:rsid w:val="003D1417"/>
    <w:rsid w:val="003D4A39"/>
    <w:rsid w:val="003E4518"/>
    <w:rsid w:val="003E6C3D"/>
    <w:rsid w:val="003F2946"/>
    <w:rsid w:val="003F7618"/>
    <w:rsid w:val="0040613B"/>
    <w:rsid w:val="0041362D"/>
    <w:rsid w:val="00417E7D"/>
    <w:rsid w:val="00423B66"/>
    <w:rsid w:val="004245E9"/>
    <w:rsid w:val="0042775E"/>
    <w:rsid w:val="00431076"/>
    <w:rsid w:val="0044042E"/>
    <w:rsid w:val="00447788"/>
    <w:rsid w:val="0045169F"/>
    <w:rsid w:val="00453FEC"/>
    <w:rsid w:val="00466489"/>
    <w:rsid w:val="004705FD"/>
    <w:rsid w:val="00472E20"/>
    <w:rsid w:val="004862B6"/>
    <w:rsid w:val="00491BCB"/>
    <w:rsid w:val="00494768"/>
    <w:rsid w:val="004A2B9D"/>
    <w:rsid w:val="004B0CCB"/>
    <w:rsid w:val="004C1BB5"/>
    <w:rsid w:val="004D00A8"/>
    <w:rsid w:val="0050189B"/>
    <w:rsid w:val="005050CB"/>
    <w:rsid w:val="00533C3D"/>
    <w:rsid w:val="00551AEA"/>
    <w:rsid w:val="00557B01"/>
    <w:rsid w:val="00561ADA"/>
    <w:rsid w:val="005702BC"/>
    <w:rsid w:val="00575141"/>
    <w:rsid w:val="0058773A"/>
    <w:rsid w:val="00590F9E"/>
    <w:rsid w:val="0059444A"/>
    <w:rsid w:val="005C0102"/>
    <w:rsid w:val="005C0C68"/>
    <w:rsid w:val="005D2A13"/>
    <w:rsid w:val="005E54DF"/>
    <w:rsid w:val="006020AC"/>
    <w:rsid w:val="00604D17"/>
    <w:rsid w:val="006147AE"/>
    <w:rsid w:val="006329FF"/>
    <w:rsid w:val="00637E88"/>
    <w:rsid w:val="006679CA"/>
    <w:rsid w:val="0067295E"/>
    <w:rsid w:val="00673F51"/>
    <w:rsid w:val="00675AE5"/>
    <w:rsid w:val="00681956"/>
    <w:rsid w:val="00685325"/>
    <w:rsid w:val="00692773"/>
    <w:rsid w:val="006933C8"/>
    <w:rsid w:val="006B1910"/>
    <w:rsid w:val="006B79AC"/>
    <w:rsid w:val="006C7223"/>
    <w:rsid w:val="006C77C1"/>
    <w:rsid w:val="006D370C"/>
    <w:rsid w:val="00707467"/>
    <w:rsid w:val="00743212"/>
    <w:rsid w:val="00745E49"/>
    <w:rsid w:val="00751FF7"/>
    <w:rsid w:val="00771985"/>
    <w:rsid w:val="0077445C"/>
    <w:rsid w:val="00781733"/>
    <w:rsid w:val="007833C3"/>
    <w:rsid w:val="00786004"/>
    <w:rsid w:val="00786374"/>
    <w:rsid w:val="007C2FD5"/>
    <w:rsid w:val="007C6769"/>
    <w:rsid w:val="007E177C"/>
    <w:rsid w:val="007E3CBC"/>
    <w:rsid w:val="007F4100"/>
    <w:rsid w:val="008041FF"/>
    <w:rsid w:val="008126FD"/>
    <w:rsid w:val="00824192"/>
    <w:rsid w:val="00825920"/>
    <w:rsid w:val="00826E83"/>
    <w:rsid w:val="00835214"/>
    <w:rsid w:val="0084499D"/>
    <w:rsid w:val="008453FF"/>
    <w:rsid w:val="00866721"/>
    <w:rsid w:val="00874386"/>
    <w:rsid w:val="00884A27"/>
    <w:rsid w:val="00885313"/>
    <w:rsid w:val="00891F2D"/>
    <w:rsid w:val="008B73D0"/>
    <w:rsid w:val="008D4C70"/>
    <w:rsid w:val="008E3394"/>
    <w:rsid w:val="008F5DEB"/>
    <w:rsid w:val="00913685"/>
    <w:rsid w:val="00914BAE"/>
    <w:rsid w:val="00915324"/>
    <w:rsid w:val="00917152"/>
    <w:rsid w:val="0092640A"/>
    <w:rsid w:val="00932574"/>
    <w:rsid w:val="00937288"/>
    <w:rsid w:val="00943D97"/>
    <w:rsid w:val="00956F32"/>
    <w:rsid w:val="00976D80"/>
    <w:rsid w:val="009800B1"/>
    <w:rsid w:val="00980528"/>
    <w:rsid w:val="00980836"/>
    <w:rsid w:val="009942CC"/>
    <w:rsid w:val="009A3338"/>
    <w:rsid w:val="009A3A0B"/>
    <w:rsid w:val="009A54DA"/>
    <w:rsid w:val="009B0E13"/>
    <w:rsid w:val="009B3FF5"/>
    <w:rsid w:val="009B505E"/>
    <w:rsid w:val="009B6AE8"/>
    <w:rsid w:val="009C490C"/>
    <w:rsid w:val="009F743B"/>
    <w:rsid w:val="00A06463"/>
    <w:rsid w:val="00A167A1"/>
    <w:rsid w:val="00A2194F"/>
    <w:rsid w:val="00A24DC7"/>
    <w:rsid w:val="00A36B82"/>
    <w:rsid w:val="00A41C0D"/>
    <w:rsid w:val="00A43E63"/>
    <w:rsid w:val="00A56378"/>
    <w:rsid w:val="00A56B94"/>
    <w:rsid w:val="00A65535"/>
    <w:rsid w:val="00A66EE5"/>
    <w:rsid w:val="00A81D4B"/>
    <w:rsid w:val="00A82C32"/>
    <w:rsid w:val="00A86F78"/>
    <w:rsid w:val="00A96940"/>
    <w:rsid w:val="00AA05A8"/>
    <w:rsid w:val="00AA5A9C"/>
    <w:rsid w:val="00AB3628"/>
    <w:rsid w:val="00AB3A80"/>
    <w:rsid w:val="00AB5D17"/>
    <w:rsid w:val="00AB6A88"/>
    <w:rsid w:val="00AC48E6"/>
    <w:rsid w:val="00B24DE4"/>
    <w:rsid w:val="00B2797C"/>
    <w:rsid w:val="00B354F3"/>
    <w:rsid w:val="00B369F2"/>
    <w:rsid w:val="00B4369A"/>
    <w:rsid w:val="00B45FFE"/>
    <w:rsid w:val="00B463D7"/>
    <w:rsid w:val="00B47D13"/>
    <w:rsid w:val="00B519FA"/>
    <w:rsid w:val="00B5782A"/>
    <w:rsid w:val="00B6181C"/>
    <w:rsid w:val="00B67BF1"/>
    <w:rsid w:val="00B7193B"/>
    <w:rsid w:val="00B719E2"/>
    <w:rsid w:val="00B803B5"/>
    <w:rsid w:val="00B809D3"/>
    <w:rsid w:val="00B93FE9"/>
    <w:rsid w:val="00B9578C"/>
    <w:rsid w:val="00B95885"/>
    <w:rsid w:val="00BA35FE"/>
    <w:rsid w:val="00BB0928"/>
    <w:rsid w:val="00BC7D48"/>
    <w:rsid w:val="00BD56F9"/>
    <w:rsid w:val="00BE07C3"/>
    <w:rsid w:val="00BF12C4"/>
    <w:rsid w:val="00BF3D0D"/>
    <w:rsid w:val="00C0639B"/>
    <w:rsid w:val="00C15FA5"/>
    <w:rsid w:val="00C34A04"/>
    <w:rsid w:val="00C401FE"/>
    <w:rsid w:val="00C407B0"/>
    <w:rsid w:val="00C437FA"/>
    <w:rsid w:val="00C55018"/>
    <w:rsid w:val="00C76732"/>
    <w:rsid w:val="00C836D1"/>
    <w:rsid w:val="00C92C08"/>
    <w:rsid w:val="00CA69B7"/>
    <w:rsid w:val="00CD68A4"/>
    <w:rsid w:val="00CD77E7"/>
    <w:rsid w:val="00CE571E"/>
    <w:rsid w:val="00CE7C47"/>
    <w:rsid w:val="00CF7EEF"/>
    <w:rsid w:val="00D010A8"/>
    <w:rsid w:val="00D02819"/>
    <w:rsid w:val="00D06235"/>
    <w:rsid w:val="00D25D0F"/>
    <w:rsid w:val="00D27421"/>
    <w:rsid w:val="00D31F9F"/>
    <w:rsid w:val="00D3306E"/>
    <w:rsid w:val="00D36B9E"/>
    <w:rsid w:val="00D47337"/>
    <w:rsid w:val="00D6458B"/>
    <w:rsid w:val="00D653A0"/>
    <w:rsid w:val="00D70DE5"/>
    <w:rsid w:val="00D75FC0"/>
    <w:rsid w:val="00DA0632"/>
    <w:rsid w:val="00DB3106"/>
    <w:rsid w:val="00DB414C"/>
    <w:rsid w:val="00DB617D"/>
    <w:rsid w:val="00DD0031"/>
    <w:rsid w:val="00DD13A0"/>
    <w:rsid w:val="00DE6CDD"/>
    <w:rsid w:val="00DE7960"/>
    <w:rsid w:val="00DF026B"/>
    <w:rsid w:val="00DF09A3"/>
    <w:rsid w:val="00DF7275"/>
    <w:rsid w:val="00E07B41"/>
    <w:rsid w:val="00E07EC0"/>
    <w:rsid w:val="00E13D75"/>
    <w:rsid w:val="00E15BCF"/>
    <w:rsid w:val="00E160C0"/>
    <w:rsid w:val="00E17A44"/>
    <w:rsid w:val="00E42CCC"/>
    <w:rsid w:val="00E47E2D"/>
    <w:rsid w:val="00E621B2"/>
    <w:rsid w:val="00E65D39"/>
    <w:rsid w:val="00E67AD0"/>
    <w:rsid w:val="00E86FE4"/>
    <w:rsid w:val="00EB1F47"/>
    <w:rsid w:val="00EB2D9A"/>
    <w:rsid w:val="00EB6F63"/>
    <w:rsid w:val="00EC1399"/>
    <w:rsid w:val="00ED0E3A"/>
    <w:rsid w:val="00ED2F73"/>
    <w:rsid w:val="00EE580A"/>
    <w:rsid w:val="00EF01AD"/>
    <w:rsid w:val="00EF0274"/>
    <w:rsid w:val="00EF176D"/>
    <w:rsid w:val="00EF7E2C"/>
    <w:rsid w:val="00F05221"/>
    <w:rsid w:val="00F07C0B"/>
    <w:rsid w:val="00F3499C"/>
    <w:rsid w:val="00F352F0"/>
    <w:rsid w:val="00F4157E"/>
    <w:rsid w:val="00F41E45"/>
    <w:rsid w:val="00F47CC8"/>
    <w:rsid w:val="00FA177B"/>
    <w:rsid w:val="00FB2AFE"/>
    <w:rsid w:val="00FD16DD"/>
    <w:rsid w:val="00FD5173"/>
    <w:rsid w:val="00FE3605"/>
    <w:rsid w:val="00FE3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45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45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445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7445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445C"/>
    <w:pPr>
      <w:keepNext/>
      <w:numPr>
        <w:ilvl w:val="3"/>
        <w:numId w:val="4"/>
      </w:numPr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7445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7445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7445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77445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7445C"/>
    <w:pPr>
      <w:keepNext/>
      <w:numPr>
        <w:ilvl w:val="8"/>
        <w:numId w:val="4"/>
      </w:numPr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C290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D4C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D4C70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8D4C70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8D4C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8D4C70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8D4C70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8D4C70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8D4C70"/>
    <w:rPr>
      <w:rFonts w:ascii="Cambria" w:hAnsi="Cambria" w:cs="Cambria"/>
    </w:rPr>
  </w:style>
  <w:style w:type="paragraph" w:styleId="BodyText">
    <w:name w:val="Body Text"/>
    <w:basedOn w:val="Normal"/>
    <w:link w:val="BodyTextChar"/>
    <w:uiPriority w:val="99"/>
    <w:rsid w:val="0077445C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2C290E"/>
    <w:rPr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77445C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C290E"/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7445C"/>
    <w:pPr>
      <w:tabs>
        <w:tab w:val="center" w:pos="4536"/>
        <w:tab w:val="right" w:pos="9072"/>
      </w:tabs>
      <w:autoSpaceDE w:val="0"/>
      <w:autoSpaceDN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4C70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77445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D4C70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7744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C70"/>
    <w:rPr>
      <w:sz w:val="24"/>
      <w:szCs w:val="24"/>
    </w:rPr>
  </w:style>
  <w:style w:type="paragraph" w:customStyle="1" w:styleId="tytu">
    <w:name w:val="tytuł"/>
    <w:basedOn w:val="Normal"/>
    <w:uiPriority w:val="99"/>
    <w:rsid w:val="0077445C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WW-Tekstpodstawowywcity2">
    <w:name w:val="WW-Tekst podstawowy wcięty 2"/>
    <w:basedOn w:val="Normal"/>
    <w:uiPriority w:val="99"/>
    <w:rsid w:val="0077445C"/>
    <w:pPr>
      <w:suppressAutoHyphens/>
      <w:ind w:left="284" w:firstLine="1"/>
      <w:jc w:val="both"/>
    </w:pPr>
    <w:rPr>
      <w:rFonts w:ascii="Arial Narrow" w:hAnsi="Arial Narrow" w:cs="Arial Narrow"/>
    </w:rPr>
  </w:style>
  <w:style w:type="paragraph" w:styleId="NormalWeb">
    <w:name w:val="Normal (Web)"/>
    <w:basedOn w:val="Normal"/>
    <w:uiPriority w:val="99"/>
    <w:rsid w:val="0077445C"/>
    <w:pPr>
      <w:spacing w:before="51" w:after="152"/>
      <w:jc w:val="both"/>
    </w:pPr>
    <w:rPr>
      <w:rFonts w:ascii="Tahoma" w:hAnsi="Tahoma" w:cs="Tahoma"/>
      <w:color w:val="000000"/>
      <w:sz w:val="13"/>
      <w:szCs w:val="13"/>
    </w:rPr>
  </w:style>
  <w:style w:type="paragraph" w:customStyle="1" w:styleId="xl26">
    <w:name w:val="xl26"/>
    <w:basedOn w:val="Normal"/>
    <w:uiPriority w:val="99"/>
    <w:rsid w:val="0077445C"/>
    <w:pPr>
      <w:spacing w:before="100" w:beforeAutospacing="1" w:after="100" w:afterAutospacing="1"/>
    </w:pPr>
    <w:rPr>
      <w:rFonts w:ascii="Bookman Old Style" w:hAnsi="Bookman Old Style" w:cs="Bookman Old Style"/>
      <w:b/>
      <w:bCs/>
    </w:rPr>
  </w:style>
  <w:style w:type="table" w:styleId="TableGrid">
    <w:name w:val="Table Grid"/>
    <w:basedOn w:val="TableNormal"/>
    <w:uiPriority w:val="99"/>
    <w:rsid w:val="003769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743212"/>
  </w:style>
  <w:style w:type="paragraph" w:customStyle="1" w:styleId="WW-Tekstpodstawowy2">
    <w:name w:val="WW-Tekst podstawowy 2"/>
    <w:basedOn w:val="Normal"/>
    <w:uiPriority w:val="99"/>
    <w:rsid w:val="002C290E"/>
    <w:pPr>
      <w:widowControl w:val="0"/>
      <w:tabs>
        <w:tab w:val="left" w:pos="0"/>
      </w:tabs>
      <w:suppressAutoHyphens/>
      <w:spacing w:line="360" w:lineRule="auto"/>
      <w:jc w:val="both"/>
    </w:pPr>
    <w:rPr>
      <w:rFonts w:ascii="Arial Narrow" w:hAnsi="Arial Narrow" w:cs="Arial Narrow"/>
    </w:rPr>
  </w:style>
  <w:style w:type="paragraph" w:customStyle="1" w:styleId="ZnakZnakZnakZnakZnakZnak">
    <w:name w:val="Znak Znak Znak Znak Znak Znak"/>
    <w:basedOn w:val="Normal"/>
    <w:uiPriority w:val="99"/>
    <w:rsid w:val="00937288"/>
  </w:style>
  <w:style w:type="numbering" w:customStyle="1" w:styleId="Styl1">
    <w:name w:val="Styl1"/>
    <w:rsid w:val="002904C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69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4</Pages>
  <Words>1318</Words>
  <Characters>7914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halgol</dc:creator>
  <cp:keywords/>
  <dc:description/>
  <cp:lastModifiedBy>mdudzinska</cp:lastModifiedBy>
  <cp:revision>12</cp:revision>
  <cp:lastPrinted>2014-09-15T07:47:00Z</cp:lastPrinted>
  <dcterms:created xsi:type="dcterms:W3CDTF">2014-09-15T07:14:00Z</dcterms:created>
  <dcterms:modified xsi:type="dcterms:W3CDTF">2014-09-15T08:28:00Z</dcterms:modified>
</cp:coreProperties>
</file>